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ypt-20260805.htm"/>
      <w:bookmarkStart w:id="1" w:name="kseypt20260805"/>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20"/>
        </w:rPr>
        <w:t>As filed with the Securities and Exchange Commission on August 5, 2026</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Times New Roman" w:hAnsi="Times New Roman"/>
          <w:b/>
          <w:color w:val="000000"/>
          <w:sz w:val="20"/>
        </w:rPr>
        <w:t>Registration No. 333-   </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36"/>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THE SECURITIES ACT OF 1933</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48"/>
        </w:rPr>
        <w:t>EyePoint,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26-2774444</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tbl>
      <w:tblPr>
        <w:tblW w:w="4550" w:type="dxa"/>
        <w:jc w:val="left"/>
        <w:tblInd w:w="0" w:type="dxa"/>
        <w:tblLayout w:type="fixed"/>
        <w:tblCellMar>
          <w:top w:w="28" w:type="dxa"/>
          <w:left w:w="28" w:type="dxa"/>
          <w:bottom w:w="28" w:type="dxa"/>
          <w:right w:w="28" w:type="dxa"/>
        </w:tblCellMar>
      </w:tblPr>
      <w:tblGrid>
        <w:gridCol w:w="4396"/>
        <w:gridCol w:w="154"/>
      </w:tblGrid>
      <w:tr>
        <w:trPr/>
        <w:tc>
          <w:tcPr>
            <w:tcW w:w="43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480 Pleasant Street, Watertown, MA 02472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EyePoint, Inc. 2023 Long-Term Incentive Plan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Nonqualified Stock Option Awards (Inducement Grants)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(Full title of the plans)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Jay S. Duker, M.D.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President and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EyePoint,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480 Pleasant Street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Watertown, MA 02472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(Name and address of agent for service)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(617) 926-5000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(Telephone number, including area code, of agent for service)</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i/>
          <w:color w:val="000000"/>
          <w:sz w:val="20"/>
        </w:rPr>
        <w:t>Copies to: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048" w:type="dxa"/>
        <w:jc w:val="left"/>
        <w:tblInd w:w="0" w:type="dxa"/>
        <w:tblLayout w:type="fixed"/>
        <w:tblCellMar>
          <w:top w:w="28" w:type="dxa"/>
          <w:left w:w="28" w:type="dxa"/>
          <w:bottom w:w="28" w:type="dxa"/>
          <w:right w:w="28" w:type="dxa"/>
        </w:tblCellMar>
      </w:tblPr>
      <w:tblGrid>
        <w:gridCol w:w="3166"/>
        <w:gridCol w:w="146"/>
        <w:gridCol w:w="373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Stephen M. Nicolai, Esq.</w:t>
            </w:r>
          </w:p>
          <w:p>
            <w:pPr>
              <w:pStyle w:val="TableContents"/>
              <w:bidi w:val="0"/>
              <w:jc w:val="center"/>
              <w:rPr>
                <w:rFonts w:ascii="Times New Roman" w:hAnsi="Times New Roman"/>
                <w:b/>
                <w:color w:val="000000"/>
                <w:sz w:val="20"/>
              </w:rPr>
            </w:pPr>
            <w:r>
              <w:rPr>
                <w:rFonts w:ascii="Times New Roman" w:hAnsi="Times New Roman"/>
                <w:b/>
                <w:color w:val="000000"/>
                <w:sz w:val="20"/>
              </w:rPr>
              <w:t>Hogan Lovells Cadwalader US LLP</w:t>
            </w:r>
          </w:p>
          <w:p>
            <w:pPr>
              <w:pStyle w:val="TableContents"/>
              <w:bidi w:val="0"/>
              <w:jc w:val="center"/>
              <w:rPr>
                <w:rFonts w:ascii="Times New Roman" w:hAnsi="Times New Roman"/>
                <w:b/>
                <w:color w:val="000000"/>
                <w:sz w:val="20"/>
              </w:rPr>
            </w:pPr>
            <w:r>
              <w:rPr>
                <w:rFonts w:ascii="Times New Roman" w:hAnsi="Times New Roman"/>
                <w:b/>
                <w:color w:val="000000"/>
                <w:sz w:val="20"/>
              </w:rPr>
              <w:t>1735 Market Street, 23rd Floor</w:t>
            </w:r>
          </w:p>
          <w:p>
            <w:pPr>
              <w:pStyle w:val="TableContents"/>
              <w:bidi w:val="0"/>
              <w:jc w:val="center"/>
              <w:rPr>
                <w:rFonts w:ascii="Times New Roman" w:hAnsi="Times New Roman"/>
                <w:b/>
                <w:color w:val="000000"/>
                <w:sz w:val="20"/>
              </w:rPr>
            </w:pPr>
            <w:r>
              <w:rPr>
                <w:rFonts w:ascii="Times New Roman" w:hAnsi="Times New Roman"/>
                <w:b/>
                <w:color w:val="000000"/>
                <w:sz w:val="20"/>
              </w:rPr>
              <w:t>Philadelphia, PA 19103</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(267) 675-4600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Ron Honig, Esq.</w:t>
            </w:r>
          </w:p>
          <w:p>
            <w:pPr>
              <w:pStyle w:val="TableContents"/>
              <w:bidi w:val="0"/>
              <w:jc w:val="center"/>
              <w:rPr>
                <w:rFonts w:ascii="Times New Roman" w:hAnsi="Times New Roman"/>
                <w:b/>
                <w:color w:val="000000"/>
                <w:sz w:val="20"/>
              </w:rPr>
            </w:pPr>
            <w:r>
              <w:rPr>
                <w:rFonts w:ascii="Times New Roman" w:hAnsi="Times New Roman"/>
                <w:b/>
                <w:color w:val="000000"/>
                <w:sz w:val="20"/>
              </w:rPr>
              <w:t>Chief Legal Officer &amp; Company Secretary</w:t>
            </w:r>
          </w:p>
          <w:p>
            <w:pPr>
              <w:pStyle w:val="TableContents"/>
              <w:bidi w:val="0"/>
              <w:jc w:val="center"/>
              <w:rPr>
                <w:rFonts w:ascii="Times New Roman" w:hAnsi="Times New Roman"/>
                <w:b/>
                <w:color w:val="000000"/>
                <w:sz w:val="20"/>
              </w:rPr>
            </w:pPr>
            <w:r>
              <w:rPr>
                <w:rFonts w:ascii="Times New Roman" w:hAnsi="Times New Roman"/>
                <w:b/>
                <w:color w:val="000000"/>
                <w:sz w:val="20"/>
              </w:rPr>
              <w:t>EyePoint, Inc.</w:t>
            </w:r>
          </w:p>
          <w:p>
            <w:pPr>
              <w:pStyle w:val="TableContents"/>
              <w:bidi w:val="0"/>
              <w:jc w:val="center"/>
              <w:rPr>
                <w:rFonts w:ascii="Times New Roman" w:hAnsi="Times New Roman"/>
                <w:b/>
                <w:color w:val="000000"/>
                <w:sz w:val="20"/>
              </w:rPr>
            </w:pPr>
            <w:r>
              <w:rPr>
                <w:rFonts w:ascii="Times New Roman" w:hAnsi="Times New Roman"/>
                <w:b/>
                <w:color w:val="000000"/>
                <w:sz w:val="20"/>
              </w:rPr>
              <w:t>480 Pleasant Street</w:t>
            </w:r>
          </w:p>
          <w:p>
            <w:pPr>
              <w:pStyle w:val="TableContents"/>
              <w:bidi w:val="0"/>
              <w:jc w:val="center"/>
              <w:rPr>
                <w:rFonts w:ascii="Times New Roman" w:hAnsi="Times New Roman"/>
                <w:b/>
                <w:color w:val="000000"/>
                <w:sz w:val="20"/>
              </w:rPr>
            </w:pPr>
            <w:r>
              <w:rPr>
                <w:rFonts w:ascii="Times New Roman" w:hAnsi="Times New Roman"/>
                <w:b/>
                <w:color w:val="000000"/>
                <w:sz w:val="20"/>
              </w:rPr>
              <w:t>Watertown, MA 02472</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(617) 926-5000</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EXPLANATORY NOTE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EyePoint, Inc. 2023 Long-Term Incentive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Registration Statement on Form S-8 (the “Registration Statement”) registers an additional 4,900,000 shares of common stock of EyePoint, Inc. (the “Registrant”), par value $0.001 per share (the “Common Stock”), available for issuance under the EyePoint, Inc. 2023 Long Term Incentive Plan, as amended (the “2023 Plan”). The contents of the previous Registration Statements on Form S-8 filed by the Registrant with the U.S. Securities and Exchange Commission (the “Commission”) for the 2023 Plan on October 20, 2023, August 8, 2024 and August 7, 2025 (File Nos. 333-275124, 333-281393 and 333-289373), to the extent not otherwise amended or superseded by the contents hereof, are incorporated by reference into this Registration Statement pursuant to General Instruction E of Form S-8. </w:t>
      </w:r>
    </w:p>
    <w:p>
      <w:pPr>
        <w:pStyle w:val="TextBody"/>
        <w:bidi w:val="0"/>
        <w:spacing w:before="360" w:after="283"/>
        <w:jc w:val="left"/>
        <w:rPr>
          <w:rFonts w:ascii="Times New Roman" w:hAnsi="Times New Roman"/>
          <w:sz w:val="20"/>
        </w:rPr>
      </w:pPr>
      <w:r>
        <w:rPr>
          <w:rFonts w:ascii="Times New Roman" w:hAnsi="Times New Roman"/>
          <w:b/>
          <w:color w:val="000000"/>
          <w:sz w:val="20"/>
        </w:rPr>
        <w:t>Inducement Nonqualified Stock Option Awards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Registration Statement is also being filed for the purpose of registering 1,415,800 shares of Common Stock issuable upon the exercise of nonqualified stock option awards granted to employees of the Registrant to induce each such employee to accept employment with the Registrant in accordance with Nasdaq Listing Rule 5635(c)(4) (the “Inducement Awards”). The Inducement Awards were approved by the Registrant’s Compensation Committee of the Board of Directors in compliance with and in reliance on Nasdaq Listing Rule 5635(c)(4). The Inducement Awards were granted outside of the 2023 Plan. </w:t>
      </w:r>
    </w:p>
    <w:p>
      <w:pPr>
        <w:pStyle w:val="TextBody"/>
        <w:bidi w:val="0"/>
        <w:spacing w:before="240" w:after="283"/>
        <w:jc w:val="center"/>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INFORMATION REQUIRED IN THE SECTION 10(a) PROSPECTUS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permitted by the rules of the Commission, this Registration Statement omits the information specified in Part I of Form S-8. The documents containing the information specified in Part I will be delivered to the participants in the 2023 Plan or Inducement Awards, as applicable, as required by Rule 428(b)(1) under the Securities Act of 1933, as amended. </w:t>
      </w:r>
    </w:p>
    <w:p>
      <w:pPr>
        <w:pStyle w:val="TextBody"/>
        <w:bidi w:val="0"/>
        <w:spacing w:before="240" w:after="283"/>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INFORMATION REQUIRED IN THE REGISTRATION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Item 3. Incorporation of Documents by Reference.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documents of the Registrant filed with the Commission are incorporated by reference in this Registration Statement as of their respective dates: </w:t>
      </w:r>
    </w:p>
    <w:p>
      <w:pPr>
        <w:pStyle w:val="TextBody"/>
        <w:bidi w:val="0"/>
        <w:spacing w:before="120" w:after="283"/>
        <w:jc w:val="both"/>
        <w:rPr/>
      </w:pPr>
      <w:r>
        <w:rPr>
          <w:rFonts w:ascii="Times New Roman" w:hAnsi="Times New Roman"/>
          <w:color w:val="000000"/>
          <w:sz w:val="20"/>
        </w:rPr>
        <w:t xml:space="preserve">(a) the Registrant’s Annual Report on </w:t>
      </w:r>
      <w:hyperlink r:id="rId2">
        <w:r>
          <w:rPr>
            <w:rStyle w:val="InternetLink"/>
            <w:rFonts w:ascii="Times New Roman" w:hAnsi="Times New Roman"/>
            <w:color w:val="0000FF"/>
            <w:sz w:val="20"/>
            <w:u w:val="single"/>
          </w:rPr>
          <w:t>Form 10-K</w:t>
        </w:r>
      </w:hyperlink>
      <w:r>
        <w:rPr>
          <w:rFonts w:ascii="Times New Roman" w:hAnsi="Times New Roman"/>
          <w:color w:val="000000"/>
          <w:sz w:val="20"/>
        </w:rPr>
        <w:t xml:space="preserve"> for the fiscal year ended December 31, 2025, filed with the Commission on March 5, 2026 (including those portions of the Company’s Definitive Proxy Statement on Schedule 14A, filed with the Commission on </w:t>
      </w:r>
      <w:hyperlink r:id="rId3">
        <w:r>
          <w:rPr>
            <w:rStyle w:val="InternetLink"/>
            <w:rFonts w:ascii="Times New Roman" w:hAnsi="Times New Roman"/>
            <w:color w:val="0000FF"/>
            <w:sz w:val="20"/>
            <w:u w:val="single"/>
          </w:rPr>
          <w:t>April 27, 2026</w:t>
        </w:r>
      </w:hyperlink>
      <w:r>
        <w:rPr>
          <w:rFonts w:ascii="Times New Roman" w:hAnsi="Times New Roman"/>
          <w:color w:val="000000"/>
          <w:sz w:val="20"/>
        </w:rPr>
        <w:t xml:space="preserve">, that are incorporated by reference into Part III of such Annual Report on Form 10-K); </w:t>
      </w:r>
    </w:p>
    <w:p>
      <w:pPr>
        <w:pStyle w:val="TextBody"/>
        <w:bidi w:val="0"/>
        <w:jc w:val="both"/>
        <w:rPr/>
      </w:pPr>
      <w:r>
        <w:rPr/>
        <w:t> </w:t>
      </w:r>
    </w:p>
    <w:p>
      <w:pPr>
        <w:pStyle w:val="TextBody"/>
        <w:bidi w:val="0"/>
        <w:jc w:val="both"/>
        <w:rPr/>
      </w:pPr>
      <w:r>
        <w:rPr>
          <w:rFonts w:ascii="Times New Roman" w:hAnsi="Times New Roman"/>
          <w:color w:val="000000"/>
          <w:sz w:val="20"/>
        </w:rPr>
        <w:t xml:space="preserve">(b) the Registrant’s Quarterly Reports on Form 10-Q for the quarterly periods ended </w:t>
      </w:r>
      <w:hyperlink r:id="rId4">
        <w:r>
          <w:rPr>
            <w:rStyle w:val="InternetLink"/>
            <w:rFonts w:ascii="Times New Roman" w:hAnsi="Times New Roman"/>
            <w:color w:val="0000FF"/>
            <w:sz w:val="20"/>
            <w:u w:val="single"/>
          </w:rPr>
          <w:t>March 31, 2026</w:t>
        </w:r>
      </w:hyperlink>
      <w:r>
        <w:rPr>
          <w:rFonts w:ascii="Times New Roman" w:hAnsi="Times New Roman"/>
          <w:color w:val="000000"/>
          <w:sz w:val="20"/>
        </w:rPr>
        <w:t xml:space="preserve">, filed with the Commission on May 7, 2026, and </w:t>
      </w:r>
      <w:hyperlink r:id="rId5">
        <w:r>
          <w:rPr>
            <w:rStyle w:val="InternetLink"/>
            <w:rFonts w:ascii="Times New Roman" w:hAnsi="Times New Roman"/>
            <w:color w:val="0000FF"/>
            <w:sz w:val="20"/>
            <w:u w:val="single"/>
          </w:rPr>
          <w:t>June 30, 2026</w:t>
        </w:r>
      </w:hyperlink>
      <w:r>
        <w:rPr>
          <w:rFonts w:ascii="Times New Roman" w:hAnsi="Times New Roman"/>
          <w:color w:val="000000"/>
          <w:sz w:val="20"/>
        </w:rPr>
        <w:t xml:space="preserve">, filed with the Commission on August 5, 2026; </w:t>
      </w:r>
    </w:p>
    <w:p>
      <w:pPr>
        <w:pStyle w:val="TextBody"/>
        <w:bidi w:val="0"/>
        <w:spacing w:before="240" w:after="283"/>
        <w:jc w:val="both"/>
        <w:rPr/>
      </w:pPr>
      <w:r>
        <w:rPr>
          <w:rFonts w:ascii="Times New Roman" w:hAnsi="Times New Roman"/>
          <w:color w:val="000000"/>
          <w:sz w:val="20"/>
        </w:rPr>
        <w:t xml:space="preserve">(c) the Registrant’s Current Reports on Form 8-K, filed with the Commission on </w:t>
      </w:r>
      <w:hyperlink r:id="rId6">
        <w:r>
          <w:rPr>
            <w:rStyle w:val="InternetLink"/>
            <w:rFonts w:ascii="Times New Roman" w:hAnsi="Times New Roman"/>
            <w:color w:val="0000FF"/>
            <w:sz w:val="20"/>
            <w:u w:val="single"/>
          </w:rPr>
          <w:t>March 2, 2026</w:t>
        </w:r>
      </w:hyperlink>
      <w:r>
        <w:rPr>
          <w:rFonts w:ascii="Times New Roman" w:hAnsi="Times New Roman"/>
          <w:color w:val="000000"/>
          <w:sz w:val="20"/>
        </w:rPr>
        <w:t xml:space="preserve">, </w:t>
      </w:r>
      <w:hyperlink r:id="rId7">
        <w:r>
          <w:rPr>
            <w:rStyle w:val="InternetLink"/>
            <w:rFonts w:ascii="Times New Roman" w:hAnsi="Times New Roman"/>
            <w:color w:val="0000FF"/>
            <w:sz w:val="20"/>
            <w:u w:val="single"/>
          </w:rPr>
          <w:t>April 13, 2026</w:t>
        </w:r>
      </w:hyperlink>
      <w:r>
        <w:rPr>
          <w:rFonts w:ascii="Times New Roman" w:hAnsi="Times New Roman"/>
          <w:color w:val="000000"/>
          <w:sz w:val="20"/>
        </w:rPr>
        <w:t xml:space="preserve">, </w:t>
      </w:r>
      <w:hyperlink r:id="rId8">
        <w:r>
          <w:rPr>
            <w:rStyle w:val="InternetLink"/>
            <w:rFonts w:ascii="Times New Roman" w:hAnsi="Times New Roman"/>
            <w:color w:val="0000FF"/>
            <w:sz w:val="20"/>
            <w:u w:val="single"/>
          </w:rPr>
          <w:t>May 14, 2026</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June 22, 2026</w:t>
        </w:r>
      </w:hyperlink>
      <w:r>
        <w:rPr>
          <w:rFonts w:ascii="Times New Roman" w:hAnsi="Times New Roman"/>
          <w:color w:val="000000"/>
          <w:sz w:val="20"/>
        </w:rPr>
        <w:t xml:space="preserve">, </w:t>
      </w:r>
      <w:hyperlink r:id="rId10">
        <w:r>
          <w:rPr>
            <w:rStyle w:val="InternetLink"/>
            <w:rFonts w:ascii="Times New Roman" w:hAnsi="Times New Roman"/>
            <w:color w:val="0000FF"/>
            <w:sz w:val="20"/>
            <w:u w:val="single"/>
          </w:rPr>
          <w:t>July 17, 2026</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July 30, 2026</w:t>
        </w:r>
      </w:hyperlink>
      <w:r>
        <w:rPr>
          <w:rFonts w:ascii="Times New Roman" w:hAnsi="Times New Roman"/>
          <w:color w:val="000000"/>
          <w:sz w:val="20"/>
        </w:rPr>
        <w:t xml:space="preserve"> and </w:t>
      </w:r>
      <w:hyperlink r:id="rId12">
        <w:r>
          <w:rPr>
            <w:rStyle w:val="InternetLink"/>
            <w:rFonts w:ascii="Times New Roman" w:hAnsi="Times New Roman"/>
            <w:color w:val="0000FF"/>
            <w:sz w:val="20"/>
            <w:u w:val="single"/>
          </w:rPr>
          <w:t>August 5, 2026</w:t>
        </w:r>
      </w:hyperlink>
      <w:r>
        <w:rPr>
          <w:rFonts w:ascii="Times New Roman" w:hAnsi="Times New Roman"/>
          <w:color w:val="000000"/>
          <w:sz w:val="20"/>
        </w:rPr>
        <w:t>; and</w:t>
      </w:r>
    </w:p>
    <w:p>
      <w:pPr>
        <w:pStyle w:val="TextBody"/>
        <w:bidi w:val="0"/>
        <w:spacing w:before="240" w:after="283"/>
        <w:jc w:val="both"/>
        <w:rPr/>
      </w:pPr>
      <w:r>
        <w:rPr>
          <w:rFonts w:ascii="Times New Roman" w:hAnsi="Times New Roman"/>
          <w:color w:val="000000"/>
          <w:sz w:val="20"/>
        </w:rPr>
        <w:t xml:space="preserve">(d) the description of the Common Stock contained in the Registrant’s Registration Statement on </w:t>
      </w:r>
      <w:hyperlink r:id="rId13">
        <w:r>
          <w:rPr>
            <w:rStyle w:val="InternetLink"/>
            <w:rFonts w:ascii="Times New Roman" w:hAnsi="Times New Roman"/>
            <w:color w:val="0000EE"/>
            <w:sz w:val="20"/>
            <w:u w:val="single"/>
          </w:rPr>
          <w:t>Form 20-F</w:t>
        </w:r>
      </w:hyperlink>
      <w:r>
        <w:rPr>
          <w:rFonts w:ascii="Times New Roman" w:hAnsi="Times New Roman"/>
          <w:color w:val="000000"/>
          <w:sz w:val="20"/>
        </w:rPr>
        <w:t xml:space="preserve"> filed with the Commission on January 20, 2005 and subsequent Current Report on Form 8-K filed under Rule 12g-3 of the Exchange Act on June 19, 2008, as updated by </w:t>
      </w:r>
      <w:hyperlink r:id="rId14">
        <w:r>
          <w:rPr>
            <w:rStyle w:val="InternetLink"/>
            <w:rFonts w:ascii="Times New Roman" w:hAnsi="Times New Roman"/>
            <w:color w:val="0000FF"/>
            <w:sz w:val="20"/>
            <w:u w:val="single"/>
          </w:rPr>
          <w:t>Exhibit 4.2</w:t>
        </w:r>
      </w:hyperlink>
      <w:r>
        <w:rPr>
          <w:rFonts w:ascii="Times New Roman" w:hAnsi="Times New Roman"/>
          <w:color w:val="000000"/>
          <w:sz w:val="20"/>
        </w:rPr>
        <w:t xml:space="preserve"> to the Registrant’s Annual Report on </w:t>
      </w:r>
      <w:hyperlink r:id="rId15">
        <w:r>
          <w:rPr>
            <w:rStyle w:val="InternetLink"/>
            <w:rFonts w:ascii="Times New Roman" w:hAnsi="Times New Roman"/>
            <w:color w:val="0000FF"/>
            <w:sz w:val="20"/>
            <w:u w:val="single"/>
          </w:rPr>
          <w:t>Form 10-K</w:t>
        </w:r>
      </w:hyperlink>
      <w:r>
        <w:rPr>
          <w:rFonts w:ascii="Times New Roman" w:hAnsi="Times New Roman"/>
          <w:color w:val="000000"/>
          <w:sz w:val="20"/>
        </w:rPr>
        <w:t xml:space="preserve"> for the fiscal year ended December 31, 2025, including any amendments or reports filed for the purpose of updating such description.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reports and other documents filed by the Registrant after the date hereof pursuant to Sections 13(a), 13(c), 14 and 15(d) of the Exchange Act but prior to the filing of a post-effective amendment which indicates that all securities offered hereby have been sold or which deregisters all securities then remaining unsold, shall be deemed to be incorporated by reference herein and to be part hereof from the date of filing of such reports and documents, except for the documents, or portions thereof, that are “furnished” rather than filed with the Commission.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240" w:after="283"/>
        <w:jc w:val="left"/>
        <w:rPr>
          <w:rFonts w:ascii="Times New Roman" w:hAnsi="Times New Roman"/>
          <w:sz w:val="20"/>
        </w:rPr>
      </w:pPr>
      <w:r>
        <w:rPr>
          <w:rFonts w:ascii="Times New Roman" w:hAnsi="Times New Roman"/>
          <w:b/>
          <w:color w:val="000000"/>
          <w:sz w:val="20"/>
        </w:rPr>
        <w:t>Item 4. Description of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r>
        <w:rPr>
          <w:rFonts w:ascii="Times New Roman" w:hAnsi="Times New Roman"/>
          <w:b/>
          <w:color w:val="000000"/>
          <w:sz w:val="20"/>
        </w:rPr>
        <w:t>Item 5. Interests of Named Experts and Counsel.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r>
        <w:rPr>
          <w:rFonts w:ascii="Times New Roman" w:hAnsi="Times New Roman"/>
          <w:b/>
          <w:color w:val="000000"/>
          <w:sz w:val="20"/>
        </w:rPr>
        <w:t>Item 6. Indemnification of Directors and Officers.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Section 145 of the Delaware General Corporation Law permits, in general, a Delaware corporation to indemnify any person who was or is a party to any proceeding (other than an action by, or in the right of, the corporation) by reason of the fact that he or she is or was a director or officer of the corporation, or served another business enterprise at the request of the corporation, against liability incurred in connection with such proceeding, including the expenses (including attorneys’ fees), judgments, fines and amounts paid in settlement actually and reasonably incurred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as well, but only to the extent of expenses (including attorneys’ fees) actually and reasonably incurred by the person in connection with the defense or settlement of the action or suit, provided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Section 145 of the Delaware General Corporation Law also permits, in general, a Delaware corporation to purchase and maintain insurance on behalf of any person who is or was a director or officer of the corporation, or served another entity at the request of the corporation, against liability incurred by such person in such capacity, whether or not the corporation would have the power to indemnify such person against such liability.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Registrant has entered into indemnification agreements with each of its directors and executive officers and has obtained insurance covering its directors and officers against losses and insuring the Registrant against certain of its obligations to indemnify its directors and officers.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Registrant’s Certificate of Incorporation, as amended, provides that the Registrant shall indemnify each of its directors and officers, to the maximum extent permitted from time to time by law, against all expenses (including attorneys’ fees), judgments, fines and amounts paid in settlement actually and reasonably incurred by reason of the fact that he or she is a director or officer.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right of indemnification conferred in the Registrant’s Certificate of Incorporation, as amended, is not exclusive of any other right.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Registrant’s Certificate of Incorporation, as amended, provides that the Registrant’s directors shall not be liable to the Registrant or its stockholders for monetary damages for breach of fiduciary duty as a director, except to the extent that the exculpation from liability is not permitted under the Delaware General Corporation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indemnification provisions may be sufficiently broad to permit indemnification of the Registrant’s directors and officers for liabilities (including reimbursement of expenses incurred) arising under the Securities Act. </w:t>
      </w:r>
    </w:p>
    <w:p>
      <w:pPr>
        <w:pStyle w:val="TextBody"/>
        <w:bidi w:val="0"/>
        <w:spacing w:before="240" w:after="283"/>
        <w:jc w:val="left"/>
        <w:rPr>
          <w:rFonts w:ascii="Times New Roman" w:hAnsi="Times New Roman"/>
          <w:sz w:val="20"/>
        </w:rPr>
      </w:pPr>
      <w:r>
        <w:rPr>
          <w:rFonts w:ascii="Times New Roman" w:hAnsi="Times New Roman"/>
          <w:b/>
          <w:color w:val="000000"/>
          <w:sz w:val="20"/>
        </w:rPr>
        <w:t>Item 7. Exemption from Registration Claimed.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r>
        <w:rPr>
          <w:rFonts w:ascii="Times New Roman" w:hAnsi="Times New Roman"/>
          <w:b/>
          <w:color w:val="000000"/>
          <w:sz w:val="20"/>
        </w:rPr>
        <w:t>Item 8. Exhibits.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8"/>
        <w:gridCol w:w="146"/>
        <w:gridCol w:w="9131"/>
      </w:tblGrid>
      <w:tr>
        <w:trPr/>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1" w:type="dxa"/>
            <w:tcBorders/>
            <w:vAlign w:val="center"/>
          </w:tcPr>
          <w:p>
            <w:pPr>
              <w:pStyle w:val="TableContents"/>
              <w:bidi w:val="0"/>
              <w:spacing w:before="0" w:after="283"/>
              <w:jc w:val="left"/>
              <w:rPr>
                <w:sz w:val="4"/>
                <w:szCs w:val="4"/>
              </w:rPr>
            </w:pPr>
            <w:r>
              <w:rPr>
                <w:sz w:val="4"/>
                <w:szCs w:val="4"/>
              </w:rPr>
            </w:r>
          </w:p>
        </w:tc>
      </w:tr>
      <w:tr>
        <w:trPr/>
        <w:tc>
          <w:tcPr>
            <w:tcW w:w="92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9277" w:type="dxa"/>
            <w:gridSpan w:val="2"/>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Description</w:t>
            </w:r>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92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EE"/>
                  <w:sz w:val="20"/>
                  <w:u w:val="single"/>
                </w:rPr>
                <w:t>Certificate of Incorporation of pSivida Corp. (incorporated herein by reference to Exhibit 3.1 to the Company’s Current Report on Form 8-K12G3 filed with the Commission on June 19, 2008).</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EE"/>
                  <w:sz w:val="20"/>
                  <w:u w:val="single"/>
                </w:rPr>
                <w:t>Certificate of Amendment of the Certificate of Incorporation of pSivida Corp. (incorporated herein by reference to Exhibit 3.2 to the Company’s Annual Report on Form 10-K for the year ended June 30, 2017 filed with the Commission on September 13, 2017).</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EE"/>
                  <w:sz w:val="20"/>
                  <w:u w:val="single"/>
                </w:rPr>
                <w:t>Certificate of Correction to Certificate of Amendment of the Certificate of Incorporation of pSivida Corp. (incorporated herein by reference to Exhibit 3.1 to the Company’s Current Report on Form 8-K filed with the Commission on April 2, 2018).</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EE"/>
                  <w:sz w:val="20"/>
                  <w:u w:val="single"/>
                </w:rPr>
                <w:t>Certificate of Amendment of the Certificate of Incorporation, as amended, of EyePoint Pharmaceuticals, Inc. (incorporated herein by reference to Exhibit 3.1 to the Company’s Current Report on Form 8-K filed with the Commission on June 27, 2018).</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EE"/>
                  <w:sz w:val="20"/>
                  <w:u w:val="single"/>
                </w:rPr>
                <w:t>By-Laws of EyePoint Pharmaceuticals, Inc. (incorporated herein by reference to Exhibit 3.5 to the Company’s Annual Report on Form 10-K for the year ended June 30, 2018 filed with the Commission on September 18, 2018).</w:t>
              </w:r>
            </w:hyperlink>
            <w:r>
              <w:rPr>
                <w:rFonts w:ascii="Times New Roman" w:hAnsi="Times New Roman"/>
                <w:color w:val="000000"/>
                <w:sz w:val="20"/>
              </w:rPr>
              <w:t xml:space="preserve">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EE"/>
                  <w:sz w:val="20"/>
                  <w:u w:val="single"/>
                </w:rPr>
                <w:t>Amendment No. 1 to By-Laws of EyePoint Pharmaceuticals, Inc. (incorporated herein by reference to Exhibit 3.1 to the Company’s Current Report on Form 8-K filed with the Commission on November 6, 2018).</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EE"/>
                  <w:sz w:val="20"/>
                  <w:u w:val="single"/>
                </w:rPr>
                <w:t>Certificate of Amendment of the Certificate of Incorporation of EyePoint Pharmaceuticals, Inc. (incorporated herein by reference to Exhibit 3.1 to the Company’s Current Report on Form 8-K filed with the Commission on June 23, 2020).</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EE"/>
                  <w:sz w:val="20"/>
                  <w:u w:val="single"/>
                </w:rPr>
                <w:t>Certificate of Amendment of the Certificate of Incorporation of EyePoint Pharmaceuticals, Inc. (incorporated herein by reference to Exhibit 3.1 to the Company’s Current Report on Form 8-K filed with the Commission on December 8, 2020).</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Certificate of Amendment of the Certificate of Incorporation, as amended, of EyePoint, Inc. (incorporated herein by reference to Exhibit 3.1 to the Company’s Current Report on Form 8-K filed with the Commission on December 8, 2025).</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Amendment No. 2 to By-Laws of EyePoint, Inc. (incorporated herein by reference to Exhibit 3.2 to the Company’s Current Report on Form 8-K filed with the Commission on December 8, 2025).</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EE"/>
                  <w:sz w:val="20"/>
                  <w:u w:val="single"/>
                </w:rPr>
                <w:t>Form of Specimen Stock Certificate for Common Stock (incorporated herein by reference to Exhibit 4.1 to the Company’s Current Report on Form 8-K12G3 filed with the Commission on June 19, 2008).</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w:anchor="eypt-ex5_1.htm">
              <w:r>
                <w:rPr>
                  <w:rStyle w:val="InternetLink"/>
                  <w:rFonts w:ascii="Times New Roman" w:hAnsi="Times New Roman"/>
                  <w:color w:val="0000FF"/>
                  <w:sz w:val="20"/>
                  <w:u w:val="single"/>
                </w:rPr>
                <w:t>Opinion of Hogan Lovells Cadwalader US LLP (filed herewith).</w:t>
              </w:r>
            </w:hyperlink>
            <w:hyperlink w:anchor="eypt-ex5_1.htm">
              <w:r>
                <w:rPr>
                  <w:rStyle w:val="InternetLink"/>
                  <w:rFonts w:ascii="Times New Roman" w:hAnsi="Times New Roman"/>
                  <w:color w:val="0000FF"/>
                  <w:sz w:val="20"/>
                </w:rPr>
                <w:t xml:space="preserve"> </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EyePoint, Inc. 2023 Long-Term Incentive Plan (incorporated herein by reference to Exhibit 10.7 to the Company’s Annual Report on Form 10-K filed with the Commission on March 5, 2026).</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EyePoint, Inc. Amendment No.1 to 2023 Long-Term Incentive Plan (incorporated herein by reference to Exhibit 10.16 to the Company’s Annual Report on Form 10-K filed with the Commission on March 5, 2026).</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EyePoint, Inc. Amendment No. 2 to 2023 Long-Term Incentive Plan (incorporated herein by reference to Exhibit 10.18 to the Company’s Annual Report on Form 10-K filed with the Commission on March 5, 2026).</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EyePoint, Inc. Amendment No. 3 to 2023 Long-Term Incentive Plan (incorporated herein by reference to Exhibit 10.1 to the Company's Current Report on Form 8-K filed with the Commission on June 22, 2026).</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w:anchor="eypt-ex23_1.htm">
              <w:r>
                <w:rPr>
                  <w:rStyle w:val="InternetLink"/>
                  <w:rFonts w:ascii="Times New Roman" w:hAnsi="Times New Roman"/>
                  <w:color w:val="0000FF"/>
                  <w:sz w:val="20"/>
                  <w:u w:val="single"/>
                </w:rPr>
                <w:t>Consent of Deloitte &amp; Touche LLP, independent registered public accounting firm (filed herewith).</w:t>
              </w:r>
            </w:hyperlink>
            <w:hyperlink w:anchor="eypt-ex23_1.htm">
              <w:r>
                <w:rPr>
                  <w:rStyle w:val="InternetLink"/>
                  <w:rFonts w:ascii="Times New Roman" w:hAnsi="Times New Roman"/>
                  <w:color w:val="0000FF"/>
                  <w:sz w:val="20"/>
                </w:rPr>
                <w:t xml:space="preserve"> </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w:anchor="eypt-ex5_1.htm">
              <w:r>
                <w:rPr>
                  <w:rStyle w:val="InternetLink"/>
                  <w:rFonts w:ascii="Times New Roman" w:hAnsi="Times New Roman"/>
                  <w:color w:val="0000FF"/>
                  <w:sz w:val="20"/>
                  <w:u w:val="single"/>
                </w:rPr>
                <w:t>Consent of Hogan Lovells Cadwalader US LLP (included in Exhibit 5.1).</w:t>
              </w:r>
            </w:hyperlink>
          </w:p>
        </w:tc>
      </w:tr>
      <w:tr>
        <w:trPr/>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w:anchor="sig">
              <w:r>
                <w:rPr>
                  <w:rStyle w:val="InternetLink"/>
                  <w:rFonts w:ascii="Times New Roman" w:hAnsi="Times New Roman"/>
                  <w:color w:val="0000EE"/>
                  <w:sz w:val="20"/>
                  <w:u w:val="single"/>
                </w:rPr>
                <w:t>Power of Attorney (included on signature page hereto).</w:t>
              </w:r>
            </w:hyperlink>
            <w:hyperlink w:anchor="sig">
              <w:r>
                <w:rPr>
                  <w:rStyle w:val="InternetLink"/>
                  <w:rFonts w:ascii="Times New Roman" w:hAnsi="Times New Roman"/>
                  <w:color w:val="0000EE"/>
                  <w:sz w:val="20"/>
                </w:rPr>
                <w:t xml:space="preserve"> </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FILING FEES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w:anchor="eypt-exfiling_fees.htm">
              <w:r>
                <w:rPr>
                  <w:rStyle w:val="InternetLink"/>
                  <w:rFonts w:ascii="Times New Roman" w:hAnsi="Times New Roman"/>
                  <w:color w:val="0000FF"/>
                  <w:sz w:val="20"/>
                  <w:u w:val="single"/>
                </w:rPr>
                <w:t>Filing Fee Table (filed herewith).</w:t>
              </w:r>
            </w:hyperlink>
            <w:hyperlink w:anchor="eypt-exfiling_fees.htm">
              <w:r>
                <w:rPr>
                  <w:rStyle w:val="InternetLink"/>
                  <w:rFonts w:ascii="Times New Roman" w:hAnsi="Times New Roman"/>
                  <w:color w:val="0000FF"/>
                  <w:sz w:val="20"/>
                </w:rPr>
                <w:t xml:space="preserve"> </w:t>
              </w:r>
            </w:hyperlink>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Item 9. Undertakings.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The undersigned Registrant hereby undertakes: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To file, during any period in which offers or sales are being made, a post-effective amendment to this Registration Statement: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To include any prospectus required by Section 10(a)(3) of the Securities 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w:t>
      </w:r>
    </w:p>
    <w:p>
      <w:pPr>
        <w:pStyle w:val="TextBody"/>
        <w:bidi w:val="0"/>
        <w:jc w:val="both"/>
        <w:rPr>
          <w:rFonts w:ascii="Times New Roman" w:hAnsi="Times New Roman"/>
          <w:color w:val="000000"/>
          <w:sz w:val="20"/>
        </w:rPr>
      </w:pPr>
      <w:r>
        <w:rPr>
          <w:rFonts w:ascii="Times New Roman" w:hAnsi="Times New Roman"/>
          <w:color w:val="000000"/>
          <w:sz w:val="20"/>
        </w:rPr>
        <w:t xml:space="preserve">(iii) To include any material information with respect to the plan of distribution not previously disclosed in this Registration Statement or any material change to such information in this Registration Statement;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provided, however,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15(d) of the Exchange Act that are incorporated by reference in this Registration Statement.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(3) To remove from registration by means of a post-effective amendment any of the securities being registered which remain unsold at the termination of the offering.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 w:name="sig"/>
      <w:bookmarkEnd w:id="2"/>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Watertown, Massachusetts, on August 5, 2026. </w:t>
      </w:r>
    </w:p>
    <w:tbl>
      <w:tblPr>
        <w:tblW w:w="3778" w:type="dxa"/>
        <w:jc w:val="left"/>
        <w:tblInd w:w="0" w:type="dxa"/>
        <w:tblLayout w:type="fixed"/>
        <w:tblCellMar>
          <w:top w:w="28" w:type="dxa"/>
          <w:left w:w="28" w:type="dxa"/>
          <w:bottom w:w="28" w:type="dxa"/>
          <w:right w:w="28" w:type="dxa"/>
        </w:tblCellMar>
      </w:tblPr>
      <w:tblGrid>
        <w:gridCol w:w="421"/>
        <w:gridCol w:w="146"/>
        <w:gridCol w:w="321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EYEPOINT,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Jay S. Duker, M.D.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S. Duker, M.D.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spacing w:before="480" w:after="283"/>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hereby constitutes and appoints Jay S. Duker, M.D. and Ron Honig, Esq., and each of them, as his or her true and lawful attorney-in-fact and agent with full power of substitution, for him or her in any and all capacities, to sign any and all amendments to this Registration Statement on Form S-8 (including post-effective amendments), and to file the same, with all exhibits thereto and other documents in connection therewith, with the Commission, granting unto said attorney-in-fact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his or her substitute, may lawfully do or cause to be done by virtue 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this registration statement has been signed by the following persons in the capacities and on the date indicated. </w:t>
      </w:r>
    </w:p>
    <w:p>
      <w:pPr>
        <w:pStyle w:val="TextBody"/>
        <w:bidi w:val="0"/>
        <w:spacing w:before="240" w:after="283"/>
        <w:jc w:val="left"/>
        <w:rPr/>
      </w:pPr>
      <w:r>
        <w:rPr/>
        <w:t> </w:t>
      </w:r>
    </w:p>
    <w:tbl>
      <w:tblPr>
        <w:tblW w:w="8357" w:type="dxa"/>
        <w:jc w:val="left"/>
        <w:tblInd w:w="0" w:type="dxa"/>
        <w:tblLayout w:type="fixed"/>
        <w:tblCellMar>
          <w:top w:w="28" w:type="dxa"/>
          <w:left w:w="28" w:type="dxa"/>
          <w:bottom w:w="28" w:type="dxa"/>
          <w:right w:w="28" w:type="dxa"/>
        </w:tblCellMar>
      </w:tblPr>
      <w:tblGrid>
        <w:gridCol w:w="2566"/>
        <w:gridCol w:w="1100"/>
        <w:gridCol w:w="3295"/>
        <w:gridCol w:w="1396"/>
      </w:tblGrid>
      <w:tr>
        <w:trPr/>
        <w:tc>
          <w:tcPr>
            <w:tcW w:w="256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295"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1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39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Jay S. Duker, M.D.</w:t>
            </w:r>
          </w:p>
        </w:tc>
        <w:tc>
          <w:tcPr>
            <w:tcW w:w="4395"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President and Chief Executive Officer and Director</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Jay S. Duker, M.D.</w:t>
            </w:r>
          </w:p>
        </w:tc>
        <w:tc>
          <w:tcPr>
            <w:tcW w:w="439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George O. Elston</w:t>
            </w:r>
          </w:p>
        </w:tc>
        <w:tc>
          <w:tcPr>
            <w:tcW w:w="439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and Chief Financial Officer</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George O. Elston</w:t>
            </w:r>
          </w:p>
        </w:tc>
        <w:tc>
          <w:tcPr>
            <w:tcW w:w="439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Göran Ando, M.D.</w:t>
            </w:r>
          </w:p>
        </w:tc>
        <w:tc>
          <w:tcPr>
            <w:tcW w:w="439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of Directors</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Göran Ando, M.D.</w:t>
            </w:r>
          </w:p>
        </w:tc>
        <w:tc>
          <w:tcPr>
            <w:tcW w:w="439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John B. Landis, Ph.D., M.S.</w:t>
            </w:r>
          </w:p>
        </w:tc>
        <w:tc>
          <w:tcPr>
            <w:tcW w:w="439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 Landis, Ph.D., M.S.</w:t>
            </w:r>
          </w:p>
        </w:tc>
        <w:tc>
          <w:tcPr>
            <w:tcW w:w="1100"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/s/Wendy DiCicco</w:t>
            </w:r>
          </w:p>
        </w:tc>
        <w:tc>
          <w:tcPr>
            <w:tcW w:w="439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Wendy DiCicco</w:t>
            </w:r>
          </w:p>
        </w:tc>
        <w:tc>
          <w:tcPr>
            <w:tcW w:w="439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9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s/ Karen Zaderej</w:t>
            </w:r>
          </w:p>
        </w:tc>
        <w:tc>
          <w:tcPr>
            <w:tcW w:w="439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Karen Zaderej</w:t>
            </w:r>
          </w:p>
        </w:tc>
        <w:tc>
          <w:tcPr>
            <w:tcW w:w="439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9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s/ Stuart Duty</w:t>
            </w:r>
          </w:p>
        </w:tc>
        <w:tc>
          <w:tcPr>
            <w:tcW w:w="439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Stuart Duty</w:t>
            </w:r>
          </w:p>
        </w:tc>
        <w:tc>
          <w:tcPr>
            <w:tcW w:w="439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498" w:type="dxa"/>
        <w:jc w:val="left"/>
        <w:tblInd w:w="0" w:type="dxa"/>
        <w:tblLayout w:type="fixed"/>
        <w:tblCellMar>
          <w:top w:w="28" w:type="dxa"/>
          <w:left w:w="28" w:type="dxa"/>
          <w:bottom w:w="28" w:type="dxa"/>
          <w:right w:w="28" w:type="dxa"/>
        </w:tblCellMar>
      </w:tblPr>
      <w:tblGrid>
        <w:gridCol w:w="1336"/>
        <w:gridCol w:w="766"/>
        <w:gridCol w:w="1396"/>
      </w:tblGrid>
      <w:tr>
        <w:trPr/>
        <w:tc>
          <w:tcPr>
            <w:tcW w:w="1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3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s/ Fred Hassan</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r>
        <w:trPr/>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Fred Hassan</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443" w:type="dxa"/>
        <w:jc w:val="left"/>
        <w:tblInd w:w="0" w:type="dxa"/>
        <w:tblLayout w:type="fixed"/>
        <w:tblCellMar>
          <w:top w:w="28" w:type="dxa"/>
          <w:left w:w="28" w:type="dxa"/>
          <w:bottom w:w="28" w:type="dxa"/>
          <w:right w:w="28" w:type="dxa"/>
        </w:tblCellMar>
      </w:tblPr>
      <w:tblGrid>
        <w:gridCol w:w="2281"/>
        <w:gridCol w:w="766"/>
        <w:gridCol w:w="1396"/>
      </w:tblGrid>
      <w:tr>
        <w:trPr/>
        <w:tc>
          <w:tcPr>
            <w:tcW w:w="22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s/ Reginald Sanders, M.D.</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Reginald Sanders, M.D.</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 w:name="eypt-ex5_1.htm"/>
      <w:bookmarkStart w:id="4" w:name="kseyptex5_1"/>
      <w:bookmarkEnd w:id="3"/>
      <w:bookmarkEnd w:id="4"/>
      <w:r>
        <w:rPr/>
        <w:t> </w:t>
      </w:r>
      <w:r>
        <w:br w:type="page"/>
      </w:r>
    </w:p>
    <w:p>
      <w:pPr>
        <w:pStyle w:val="TextBody"/>
        <w:bidi w:val="0"/>
        <w:jc w:val="right"/>
        <w:rPr>
          <w:rFonts w:ascii="Times New Roman" w:hAnsi="Times New Roman"/>
          <w:b/>
          <w:color w:val="000000"/>
          <w:sz w:val="21"/>
        </w:rPr>
      </w:pPr>
      <w:r>
        <w:rPr>
          <w:rFonts w:ascii="Times New Roman" w:hAnsi="Times New Roman"/>
          <w:b/>
          <w:color w:val="000000"/>
          <w:sz w:val="21"/>
        </w:rPr>
        <w:t>Exhibit 5.1</w:t>
      </w:r>
    </w:p>
    <w:tbl>
      <w:tblPr>
        <w:tblW w:w="5757" w:type="dxa"/>
        <w:jc w:val="left"/>
        <w:tblInd w:w="0" w:type="dxa"/>
        <w:tblLayout w:type="fixed"/>
        <w:tblCellMar>
          <w:top w:w="28" w:type="dxa"/>
          <w:left w:w="28" w:type="dxa"/>
          <w:bottom w:w="28" w:type="dxa"/>
          <w:right w:w="28" w:type="dxa"/>
        </w:tblCellMar>
      </w:tblPr>
      <w:tblGrid>
        <w:gridCol w:w="3056"/>
        <w:gridCol w:w="2701"/>
      </w:tblGrid>
      <w:tr>
        <w:trPr/>
        <w:tc>
          <w:tcPr>
            <w:tcW w:w="305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05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87642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1"/>
                          <a:stretch>
                            <a:fillRect/>
                          </a:stretch>
                        </pic:blipFill>
                        <pic:spPr bwMode="auto">
                          <a:xfrm>
                            <a:off x="0" y="0"/>
                            <a:ext cx="1876425" cy="381000"/>
                          </a:xfrm>
                          <a:prstGeom prst="rect">
                            <a:avLst/>
                          </a:prstGeom>
                        </pic:spPr>
                      </pic:pic>
                    </a:graphicData>
                  </a:graphic>
                </wp:inline>
              </w:drawing>
            </w:r>
          </w:p>
        </w:tc>
        <w:tc>
          <w:tcPr>
            <w:tcW w:w="2701" w:type="dxa"/>
            <w:tcBorders/>
            <w:tcMar>
              <w:top w:w="0" w:type="dxa"/>
              <w:left w:w="0" w:type="dxa"/>
              <w:bottom w:w="0" w:type="dxa"/>
              <w:right w:w="0" w:type="dxa"/>
            </w:tcMar>
            <w:vAlign w:val="center"/>
          </w:tcPr>
          <w:p>
            <w:pPr>
              <w:pStyle w:val="TableContents"/>
              <w:bidi w:val="0"/>
              <w:jc w:val="left"/>
              <w:rPr>
                <w:rFonts w:ascii="Arial" w:hAnsi="Arial"/>
                <w:color w:val="000000"/>
                <w:sz w:val="16"/>
              </w:rPr>
            </w:pPr>
            <w:r>
              <w:rPr>
                <w:rFonts w:ascii="Arial" w:hAnsi="Arial"/>
                <w:color w:val="000000"/>
                <w:sz w:val="16"/>
              </w:rPr>
              <w:t>Hogan Lovells Cadwalader US LLP</w:t>
            </w:r>
          </w:p>
          <w:p>
            <w:pPr>
              <w:pStyle w:val="TableContents"/>
              <w:bidi w:val="0"/>
              <w:jc w:val="left"/>
              <w:rPr>
                <w:rFonts w:ascii="Arial" w:hAnsi="Arial"/>
                <w:color w:val="000000"/>
                <w:sz w:val="16"/>
              </w:rPr>
            </w:pPr>
            <w:r>
              <w:rPr>
                <w:rFonts w:ascii="Arial" w:hAnsi="Arial"/>
                <w:color w:val="000000"/>
                <w:sz w:val="16"/>
              </w:rPr>
              <w:t>1735 Market Street, Floor 23</w:t>
            </w:r>
          </w:p>
          <w:p>
            <w:pPr>
              <w:pStyle w:val="TableContents"/>
              <w:bidi w:val="0"/>
              <w:jc w:val="left"/>
              <w:rPr>
                <w:rFonts w:ascii="Arial" w:hAnsi="Arial"/>
                <w:color w:val="000000"/>
                <w:sz w:val="16"/>
              </w:rPr>
            </w:pPr>
            <w:r>
              <w:rPr>
                <w:rFonts w:ascii="Arial" w:hAnsi="Arial"/>
                <w:color w:val="000000"/>
                <w:sz w:val="16"/>
              </w:rPr>
              <w:t>Philadelphia, PA 19103</w:t>
            </w:r>
          </w:p>
          <w:p>
            <w:pPr>
              <w:pStyle w:val="TableContents"/>
              <w:bidi w:val="0"/>
              <w:jc w:val="left"/>
              <w:rPr>
                <w:rFonts w:ascii="Arial" w:hAnsi="Arial"/>
                <w:color w:val="000000"/>
                <w:sz w:val="16"/>
              </w:rPr>
            </w:pPr>
            <w:r>
              <w:rPr>
                <w:rFonts w:ascii="Arial" w:hAnsi="Arial"/>
                <w:color w:val="000000"/>
                <w:sz w:val="16"/>
              </w:rPr>
              <w:t>T: +1 267 675 4600</w:t>
            </w:r>
          </w:p>
          <w:p>
            <w:pPr>
              <w:pStyle w:val="TableContents"/>
              <w:bidi w:val="0"/>
              <w:jc w:val="left"/>
              <w:rPr>
                <w:rFonts w:ascii="Arial" w:hAnsi="Arial"/>
                <w:color w:val="000000"/>
                <w:sz w:val="16"/>
              </w:rPr>
            </w:pPr>
            <w:r>
              <w:rPr>
                <w:rFonts w:ascii="Arial" w:hAnsi="Arial"/>
                <w:color w:val="000000"/>
                <w:sz w:val="16"/>
              </w:rPr>
              <w:t>F: +1 267 675 4601</w:t>
            </w:r>
          </w:p>
          <w:p>
            <w:pPr>
              <w:pStyle w:val="TableContents"/>
              <w:bidi w:val="0"/>
              <w:spacing w:before="0" w:after="283"/>
              <w:jc w:val="left"/>
              <w:rPr>
                <w:rFonts w:ascii="Arial" w:hAnsi="Arial"/>
                <w:color w:val="000000"/>
                <w:sz w:val="16"/>
              </w:rPr>
            </w:pPr>
            <w:r>
              <w:rPr>
                <w:rFonts w:ascii="Arial" w:hAnsi="Arial"/>
                <w:color w:val="000000"/>
                <w:sz w:val="16"/>
              </w:rPr>
              <w:t>www.hlc.com</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1"/>
        </w:rPr>
      </w:pPr>
      <w:r>
        <w:rPr>
          <w:rFonts w:ascii="Arial" w:hAnsi="Arial"/>
          <w:color w:val="000000"/>
          <w:sz w:val="21"/>
        </w:rPr>
        <w:t>August 5, 2026</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Board of Directors</w:t>
      </w:r>
    </w:p>
    <w:p>
      <w:pPr>
        <w:pStyle w:val="TextBody"/>
        <w:bidi w:val="0"/>
        <w:jc w:val="both"/>
        <w:rPr>
          <w:rFonts w:ascii="Arial" w:hAnsi="Arial"/>
          <w:color w:val="000000"/>
          <w:sz w:val="21"/>
        </w:rPr>
      </w:pPr>
      <w:r>
        <w:rPr>
          <w:rFonts w:ascii="Arial" w:hAnsi="Arial"/>
          <w:color w:val="000000"/>
          <w:sz w:val="21"/>
        </w:rPr>
        <w:t>EyePoint, Inc.</w:t>
      </w:r>
    </w:p>
    <w:p>
      <w:pPr>
        <w:pStyle w:val="TextBody"/>
        <w:bidi w:val="0"/>
        <w:jc w:val="both"/>
        <w:rPr>
          <w:rFonts w:ascii="Arial" w:hAnsi="Arial"/>
          <w:color w:val="000000"/>
          <w:sz w:val="21"/>
        </w:rPr>
      </w:pPr>
      <w:r>
        <w:rPr>
          <w:rFonts w:ascii="Arial" w:hAnsi="Arial"/>
          <w:color w:val="000000"/>
          <w:sz w:val="21"/>
        </w:rPr>
        <w:t>480 Pleasant Street</w:t>
      </w:r>
    </w:p>
    <w:p>
      <w:pPr>
        <w:pStyle w:val="TextBody"/>
        <w:bidi w:val="0"/>
        <w:jc w:val="both"/>
        <w:rPr>
          <w:rFonts w:ascii="Arial" w:hAnsi="Arial"/>
          <w:color w:val="000000"/>
          <w:sz w:val="21"/>
        </w:rPr>
      </w:pPr>
      <w:r>
        <w:rPr>
          <w:rFonts w:ascii="Arial" w:hAnsi="Arial"/>
          <w:color w:val="000000"/>
          <w:sz w:val="21"/>
        </w:rPr>
        <w:t>Watertown, MA 02472</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Ladies and Gentlemen:</w:t>
      </w:r>
    </w:p>
    <w:p>
      <w:pPr>
        <w:pStyle w:val="TextBody"/>
        <w:bidi w:val="0"/>
        <w:jc w:val="both"/>
        <w:rPr/>
      </w:pPr>
      <w:r>
        <w:rPr/>
        <w:t> </w:t>
      </w:r>
    </w:p>
    <w:p>
      <w:pPr>
        <w:pStyle w:val="TextBody"/>
        <w:bidi w:val="0"/>
        <w:spacing w:before="0" w:after="240"/>
        <w:jc w:val="both"/>
        <w:rPr>
          <w:rFonts w:ascii="Times New Roman" w:hAnsi="Times New Roman"/>
          <w:sz w:val="20"/>
        </w:rPr>
      </w:pPr>
      <w:r>
        <w:rPr>
          <w:rFonts w:ascii="Arial" w:hAnsi="Arial"/>
          <w:color w:val="000000"/>
          <w:sz w:val="21"/>
        </w:rPr>
        <w:t>We are acting as counsel to EyePoint, Inc., a Delaware corporation (the “</w:t>
      </w:r>
      <w:r>
        <w:rPr>
          <w:rFonts w:ascii="Arial" w:hAnsi="Arial"/>
          <w:b/>
          <w:color w:val="000000"/>
          <w:sz w:val="21"/>
        </w:rPr>
        <w:t>Company</w:t>
      </w:r>
      <w:r>
        <w:rPr>
          <w:rFonts w:ascii="Times New Roman" w:hAnsi="Times New Roman"/>
          <w:color w:val="000000"/>
          <w:sz w:val="20"/>
        </w:rPr>
        <w:t>”</w:t>
      </w:r>
      <w:r>
        <w:rPr>
          <w:rFonts w:ascii="Arial" w:hAnsi="Arial"/>
          <w:color w:val="000000"/>
          <w:sz w:val="21"/>
        </w:rPr>
        <w:t>), in connection with its registration statement on Form S</w:t>
        <w:noBreakHyphen/>
        <w:t>8 (the “</w:t>
      </w:r>
      <w:r>
        <w:rPr>
          <w:rFonts w:ascii="Arial" w:hAnsi="Arial"/>
          <w:b/>
          <w:color w:val="000000"/>
          <w:sz w:val="21"/>
        </w:rPr>
        <w:t>Registration Statement</w:t>
      </w:r>
      <w:r>
        <w:rPr>
          <w:rFonts w:ascii="Times New Roman" w:hAnsi="Times New Roman"/>
          <w:color w:val="000000"/>
          <w:sz w:val="20"/>
        </w:rPr>
        <w:t>”</w:t>
      </w:r>
      <w:r>
        <w:rPr>
          <w:rFonts w:ascii="Arial" w:hAnsi="Arial"/>
          <w:color w:val="000000"/>
          <w:sz w:val="21"/>
        </w:rPr>
        <w:t>), filed with the Securities and Exchange Commission under the Securities Act of 1933, as amended (the “</w:t>
      </w:r>
      <w:r>
        <w:rPr>
          <w:rFonts w:ascii="Arial" w:hAnsi="Arial"/>
          <w:b/>
          <w:color w:val="000000"/>
          <w:sz w:val="21"/>
        </w:rPr>
        <w:t>Act</w:t>
      </w:r>
      <w:r>
        <w:rPr>
          <w:rFonts w:ascii="Times New Roman" w:hAnsi="Times New Roman"/>
          <w:color w:val="000000"/>
          <w:sz w:val="20"/>
        </w:rPr>
        <w:t>”</w:t>
      </w:r>
      <w:r>
        <w:rPr>
          <w:rFonts w:ascii="Arial" w:hAnsi="Arial"/>
          <w:color w:val="000000"/>
          <w:sz w:val="21"/>
        </w:rPr>
        <w:t>), relating to the proposed offering of an aggregate of 6,315,800 shares of common stock, par value $0.001 per share (“</w:t>
      </w:r>
      <w:r>
        <w:rPr>
          <w:rFonts w:ascii="Arial" w:hAnsi="Arial"/>
          <w:b/>
          <w:color w:val="000000"/>
          <w:sz w:val="21"/>
        </w:rPr>
        <w:t>Common Stock</w:t>
      </w:r>
      <w:r>
        <w:rPr>
          <w:rFonts w:ascii="Times New Roman" w:hAnsi="Times New Roman"/>
          <w:color w:val="000000"/>
          <w:sz w:val="20"/>
        </w:rPr>
        <w:t>”</w:t>
      </w:r>
      <w:r>
        <w:rPr>
          <w:rFonts w:ascii="Arial" w:hAnsi="Arial"/>
          <w:color w:val="000000"/>
          <w:sz w:val="21"/>
        </w:rPr>
        <w:t>) of the Company (the “</w:t>
      </w:r>
      <w:r>
        <w:rPr>
          <w:rFonts w:ascii="Arial" w:hAnsi="Arial"/>
          <w:b/>
          <w:color w:val="000000"/>
          <w:sz w:val="21"/>
        </w:rPr>
        <w:t>Shares</w:t>
      </w:r>
      <w:r>
        <w:rPr>
          <w:rFonts w:ascii="Times New Roman" w:hAnsi="Times New Roman"/>
          <w:color w:val="000000"/>
          <w:sz w:val="20"/>
        </w:rPr>
        <w:t>”</w:t>
      </w:r>
      <w:r>
        <w:rPr>
          <w:rFonts w:ascii="Arial" w:hAnsi="Arial"/>
          <w:color w:val="000000"/>
          <w:sz w:val="21"/>
        </w:rPr>
        <w:t>), consisting of (a) 4,900,000 shares of Common Stock issuable pursuant to the EyePoint, Inc. 2023 Long-Term Incentive Plan, as amended (the “</w:t>
      </w:r>
      <w:r>
        <w:rPr>
          <w:rFonts w:ascii="Arial" w:hAnsi="Arial"/>
          <w:b/>
          <w:color w:val="000000"/>
          <w:sz w:val="21"/>
        </w:rPr>
        <w:t>Plan</w:t>
      </w:r>
      <w:r>
        <w:rPr>
          <w:rFonts w:ascii="Times New Roman" w:hAnsi="Times New Roman"/>
          <w:color w:val="000000"/>
          <w:sz w:val="20"/>
        </w:rPr>
        <w:t>”</w:t>
      </w:r>
      <w:r>
        <w:rPr>
          <w:rFonts w:ascii="Arial" w:hAnsi="Arial"/>
          <w:color w:val="000000"/>
          <w:sz w:val="21"/>
        </w:rPr>
        <w:t>), and (b) 1,415,800 shares of Common Stock issuable pursuant to nonqualified stock option awards granted to employees of the Company to induce each such employee to accept employment with the Company (the “</w:t>
      </w:r>
      <w:r>
        <w:rPr>
          <w:rFonts w:ascii="Arial" w:hAnsi="Arial"/>
          <w:b/>
          <w:color w:val="000000"/>
          <w:sz w:val="21"/>
        </w:rPr>
        <w:t>Inducement Awards</w:t>
      </w:r>
      <w:r>
        <w:rPr>
          <w:rFonts w:ascii="Times New Roman" w:hAnsi="Times New Roman"/>
          <w:color w:val="000000"/>
          <w:sz w:val="20"/>
        </w:rPr>
        <w:t>”</w:t>
      </w:r>
      <w:r>
        <w:rPr>
          <w:rFonts w:ascii="Arial" w:hAnsi="Arial"/>
          <w:color w:val="000000"/>
          <w:sz w:val="21"/>
        </w:rPr>
        <w:t>). This opinion letter is furnished to you at your request to enable you to fulfill the requirements of Item 601(b)(5) of Regulation S</w:t>
        <w:noBreakHyphen/>
        <w:t>K, 17 C.F.R. § 229.601(b)(5), in connection with the Registration Statement.</w:t>
      </w:r>
    </w:p>
    <w:p>
      <w:pPr>
        <w:pStyle w:val="TextBody"/>
        <w:bidi w:val="0"/>
        <w:spacing w:before="0" w:after="240"/>
        <w:jc w:val="both"/>
        <w:rPr>
          <w:rFonts w:ascii="Times New Roman" w:hAnsi="Times New Roman"/>
          <w:sz w:val="20"/>
        </w:rPr>
      </w:pPr>
      <w:r>
        <w:rPr>
          <w:rFonts w:ascii="Arial" w:hAnsi="Arial"/>
          <w:color w:val="000000"/>
          <w:sz w:val="21"/>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1"/>
        </w:rPr>
        <w:t>This opinion letter is based as to matters of law solely on the Delaware General Corporation Law, as amended. We express no opinion herein as to any other statutes, rules or regulations.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1"/>
        </w:rPr>
        <w:t>Based upon, subject to and limited by the foregoing, we are of the opinion that following (i) effectiveness of the Registration Statement, (ii) issuance of the Shares pursuant to the terms of the Plan or the Inducement Awards, as applicable, and (iii) receipt by the Company of the consideration for the Shares specified in (x) the resolutions of the Board of Directors, or a duly authorized committee</w:t>
      </w:r>
      <w:r>
        <w:rPr>
          <w:rFonts w:ascii="Times New Roman" w:hAnsi="Times New Roman"/>
          <w:color w:val="000000"/>
          <w:sz w:val="20"/>
        </w:rPr>
        <w:t xml:space="preserve"> </w:t>
      </w:r>
    </w:p>
    <w:p>
      <w:pPr>
        <w:pStyle w:val="TextBody"/>
        <w:bidi w:val="0"/>
        <w:jc w:val="both"/>
        <w:rPr/>
      </w:pPr>
      <w:r>
        <w:rPr/>
        <w:t> </w:t>
      </w:r>
    </w:p>
    <w:p>
      <w:pPr>
        <w:pStyle w:val="TextBody"/>
        <w:bidi w:val="0"/>
        <w:spacing w:before="120" w:after="283"/>
        <w:jc w:val="both"/>
        <w:rPr>
          <w:rFonts w:ascii="Times New Roman" w:hAnsi="Times New Roman"/>
          <w:sz w:val="20"/>
        </w:rPr>
      </w:pPr>
      <w:r>
        <w:rPr>
          <w:rFonts w:ascii="Arial" w:hAnsi="Arial"/>
          <w:color w:val="000000"/>
          <w:sz w:val="12"/>
        </w:rPr>
        <w:t>Hogan Lovells Cadwalader US LLP is a limited liability partnership registered in the state of Delaware. “Hogan Lovells Cadwalader” is an international legal practice that includes Hogan Lovells Cadwalader International LLP and Hogan Lovells Cadwalader US LLP, with offices in: Alicante Amsterdam Baltimore Beijing Berlin Birmingham Boston Brussels Charlotte Colorado Springs Denver Dubai Dublin Dusseldorf Frankfurt Hamburg Hanoi Ho Chi Minh City Hong Kong Houston London Los Angeles Luxembourg Madrid Mexico City Miami Milan Minneapolis Monterrey Munich New York Northern Virginia Paris Philadelphia Riyadh Rome San Francisco São Paulo Shanghai Silicon Valley Singapore Tokyo Washington, D.C. Associated Offices: Jakarta Shanghai FTZ. Business Services Centers: Johannesburg Louisville. For more information see www.hlc.com.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2"/>
        </w:rPr>
        <w:t>MACROBUTTON DocID \\4125-0595-0559 v2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rial" w:hAnsi="Arial"/>
          <w:color w:val="000000"/>
          <w:sz w:val="21"/>
        </w:rPr>
        <w:t>EyePoint, Inc. - 2</w:t>
      </w:r>
      <w:r>
        <w:rPr>
          <w:rFonts w:ascii="Times New Roman" w:hAnsi="Times New Roman"/>
          <w:color w:val="000000"/>
          <w:sz w:val="20"/>
        </w:rPr>
        <w:t xml:space="preserve"> </w:t>
      </w:r>
      <w:r>
        <w:rPr>
          <w:rFonts w:ascii="Arial" w:hAnsi="Arial"/>
          <w:color w:val="000000"/>
          <w:sz w:val="21"/>
        </w:rPr>
        <w:t>- August 5, 2026</w:t>
      </w:r>
    </w:p>
    <w:p>
      <w:pPr>
        <w:pStyle w:val="TextBody"/>
        <w:bidi w:val="0"/>
        <w:jc w:val="both"/>
        <w:rPr/>
      </w:pPr>
      <w:r>
        <w:rPr/>
        <w:t> </w:t>
      </w:r>
    </w:p>
    <w:p>
      <w:pPr>
        <w:pStyle w:val="TextBody"/>
        <w:bidi w:val="0"/>
        <w:spacing w:before="0" w:after="240"/>
        <w:jc w:val="both"/>
        <w:rPr>
          <w:rFonts w:ascii="Arial" w:hAnsi="Arial"/>
          <w:color w:val="000000"/>
          <w:sz w:val="21"/>
        </w:rPr>
      </w:pPr>
      <w:r>
        <w:rPr>
          <w:rFonts w:ascii="Arial" w:hAnsi="Arial"/>
          <w:color w:val="000000"/>
          <w:sz w:val="21"/>
        </w:rPr>
        <w:t>thereof, and (y) the Plan and (z) the applicable award agreements, the Shares will be validly issued, fully paid, and nonassessable.</w:t>
      </w:r>
    </w:p>
    <w:p>
      <w:pPr>
        <w:pStyle w:val="TextBody"/>
        <w:bidi w:val="0"/>
        <w:spacing w:before="0" w:after="240"/>
        <w:jc w:val="both"/>
        <w:rPr>
          <w:rFonts w:ascii="Arial" w:hAnsi="Arial"/>
          <w:color w:val="000000"/>
          <w:sz w:val="21"/>
        </w:rPr>
      </w:pPr>
      <w:r>
        <w:rPr>
          <w:rFonts w:ascii="Arial" w:hAnsi="Arial"/>
          <w:color w:val="000000"/>
          <w:sz w:val="21"/>
        </w:rPr>
        <w:t>This opinion letter has been prepared for use in connection with the Registration Statement. We assume no obligation to advise of any changes in the foregoing subsequent to the effective date of the Registration Statement.</w:t>
      </w:r>
    </w:p>
    <w:p>
      <w:pPr>
        <w:pStyle w:val="TextBody"/>
        <w:bidi w:val="0"/>
        <w:spacing w:before="0" w:after="240"/>
        <w:jc w:val="both"/>
        <w:rPr>
          <w:rFonts w:ascii="Arial" w:hAnsi="Arial"/>
          <w:color w:val="000000"/>
          <w:sz w:val="21"/>
        </w:rPr>
      </w:pPr>
      <w:r>
        <w:rPr>
          <w:rFonts w:ascii="Arial" w:hAnsi="Arial"/>
          <w:color w:val="000000"/>
          <w:sz w:val="21"/>
        </w:rPr>
        <w:t>We hereby consent to the filing of this opinion letter as Exhibit 5.1 to the Registration Statement. In giving this consent, we do not thereby admit that we are an “expert” within the meaning of the Act.</w:t>
      </w:r>
    </w:p>
    <w:p>
      <w:pPr>
        <w:pStyle w:val="TextBody"/>
        <w:bidi w:val="0"/>
        <w:jc w:val="left"/>
        <w:rPr>
          <w:rFonts w:ascii="Arial" w:hAnsi="Arial"/>
          <w:color w:val="000000"/>
          <w:sz w:val="21"/>
        </w:rPr>
      </w:pPr>
      <w:r>
        <w:rPr>
          <w:rFonts w:ascii="Arial" w:hAnsi="Arial"/>
          <w:color w:val="000000"/>
          <w:sz w:val="21"/>
        </w:rPr>
        <w:t>Very truly yours,</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1"/>
        </w:rPr>
      </w:pPr>
      <w:r>
        <w:rPr>
          <w:rFonts w:ascii="Arial" w:hAnsi="Arial"/>
          <w:color w:val="000000"/>
          <w:sz w:val="21"/>
        </w:rPr>
        <w:t>/s/ HOGAN LOVELLS CADWALADER US LLP</w:t>
      </w:r>
    </w:p>
    <w:p>
      <w:pPr>
        <w:pStyle w:val="TextBody"/>
        <w:bidi w:val="0"/>
        <w:jc w:val="left"/>
        <w:rPr/>
      </w:pPr>
      <w:r>
        <w:rPr/>
        <w:t> </w:t>
      </w:r>
    </w:p>
    <w:p>
      <w:pPr>
        <w:pStyle w:val="TextBody"/>
        <w:bidi w:val="0"/>
        <w:jc w:val="left"/>
        <w:rPr>
          <w:rFonts w:ascii="Arial" w:hAnsi="Arial"/>
          <w:color w:val="000000"/>
          <w:sz w:val="21"/>
        </w:rPr>
      </w:pPr>
      <w:r>
        <w:rPr>
          <w:rFonts w:ascii="Arial" w:hAnsi="Arial"/>
          <w:color w:val="000000"/>
          <w:sz w:val="21"/>
        </w:rPr>
        <w:t>HOGAN LOVELLS CADWALADER US LLP</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5" w:name="eypt-ex23_1.htm"/>
      <w:bookmarkStart w:id="6" w:name="kseyptex23_1"/>
      <w:bookmarkEnd w:id="5"/>
      <w:bookmarkEnd w:id="6"/>
      <w:r>
        <w:rPr>
          <w:rFonts w:ascii="Times New Roman" w:hAnsi="Times New Roman"/>
          <w:b/>
          <w:color w:val="000000"/>
          <w:sz w:val="22"/>
        </w:rPr>
        <w:t>Exhibit 23.1</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We consent to the incorporation by reference in this Registration Statement on Form S-8 of our report dated March 5, 2026, relating to the financial statements of EyePoint, Inc., appearing in the Annual Report on Form 10-K of EyePoint Pharmaceuticals, Inc. for the year ended December 31, 2025.</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 Deloitte &amp; Touche LLP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Boston, Massachusetts</w:t>
      </w:r>
    </w:p>
    <w:p>
      <w:pPr>
        <w:pStyle w:val="TextBody"/>
        <w:bidi w:val="0"/>
        <w:jc w:val="left"/>
        <w:rPr>
          <w:rFonts w:ascii="Times New Roman" w:hAnsi="Times New Roman"/>
          <w:color w:val="000000"/>
          <w:sz w:val="22"/>
        </w:rPr>
      </w:pPr>
      <w:r>
        <w:rPr>
          <w:rFonts w:ascii="Times New Roman" w:hAnsi="Times New Roman"/>
          <w:color w:val="000000"/>
          <w:sz w:val="22"/>
        </w:rPr>
        <w:t>August 5,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7" w:name="eypt-exfiling_fees.htm"/>
      <w:bookmarkStart w:id="8" w:name="kseyptexfiling_fees"/>
      <w:bookmarkStart w:id="9" w:name="eypt-exfiling_fees.htm"/>
      <w:bookmarkStart w:id="10" w:name="kseyptexfiling_fees"/>
      <w:bookmarkEnd w:id="9"/>
      <w:bookmarkEnd w:id="10"/>
      <w:r>
        <w:br w:type="page"/>
      </w:r>
    </w:p>
    <w:tbl>
      <w:tblPr>
        <w:tblW w:w="3556" w:type="dxa"/>
        <w:jc w:val="left"/>
        <w:tblInd w:w="0" w:type="dxa"/>
        <w:tblLayout w:type="fixed"/>
        <w:tblCellMar>
          <w:top w:w="28" w:type="dxa"/>
          <w:left w:w="28" w:type="dxa"/>
          <w:bottom w:w="28" w:type="dxa"/>
          <w:right w:w="28" w:type="dxa"/>
        </w:tblCellMar>
      </w:tblPr>
      <w:tblGrid>
        <w:gridCol w:w="3402"/>
        <w:gridCol w:w="154"/>
      </w:tblGrid>
      <w:tr>
        <w:trPr/>
        <w:tc>
          <w:tcPr>
            <w:tcW w:w="355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2"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2" w:type="dxa"/>
            <w:tcBorders/>
            <w:vAlign w:val="center"/>
          </w:tcPr>
          <w:p>
            <w:pPr>
              <w:pStyle w:val="TableContents"/>
              <w:bidi w:val="0"/>
              <w:spacing w:before="0" w:after="283"/>
              <w:jc w:val="left"/>
              <w:rPr>
                <w:b/>
              </w:rPr>
            </w:pPr>
            <w:r>
              <w:rPr>
                <w:b/>
              </w:rPr>
              <w:t xml:space="preserve">EyePoint,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464" w:type="dxa"/>
        <w:jc w:val="left"/>
        <w:tblInd w:w="0" w:type="dxa"/>
        <w:tblLayout w:type="fixed"/>
        <w:tblCellMar>
          <w:top w:w="28" w:type="dxa"/>
          <w:left w:w="28" w:type="dxa"/>
          <w:bottom w:w="28" w:type="dxa"/>
          <w:right w:w="28" w:type="dxa"/>
        </w:tblCellMar>
      </w:tblPr>
      <w:tblGrid>
        <w:gridCol w:w="361"/>
        <w:gridCol w:w="946"/>
        <w:gridCol w:w="1351"/>
        <w:gridCol w:w="1276"/>
        <w:gridCol w:w="1186"/>
        <w:gridCol w:w="1156"/>
        <w:gridCol w:w="1666"/>
        <w:gridCol w:w="1126"/>
        <w:gridCol w:w="1396"/>
      </w:tblGrid>
      <w:tr>
        <w:trPr/>
        <w:tc>
          <w:tcPr>
            <w:tcW w:w="36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5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36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Common Stock, par value $0.001 per share, reserved for issuance pursuant to the EyePoint, Inc. 2023 Long-Term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4,900,000 </w:t>
            </w:r>
          </w:p>
        </w:tc>
        <w:tc>
          <w:tcPr>
            <w:tcW w:w="1156" w:type="dxa"/>
            <w:tcBorders/>
            <w:shd w:fill="E7E7E2" w:val="clear"/>
            <w:vAlign w:val="center"/>
          </w:tcPr>
          <w:p>
            <w:pPr>
              <w:pStyle w:val="TableContents"/>
              <w:bidi w:val="0"/>
              <w:spacing w:before="0" w:after="283"/>
              <w:jc w:val="right"/>
              <w:rPr/>
            </w:pPr>
            <w:r>
              <w:rPr/>
              <w:t xml:space="preserve">$ 12.44 </w:t>
            </w:r>
          </w:p>
        </w:tc>
        <w:tc>
          <w:tcPr>
            <w:tcW w:w="1666" w:type="dxa"/>
            <w:tcBorders/>
            <w:shd w:fill="E7E7E2" w:val="clear"/>
            <w:vAlign w:val="center"/>
          </w:tcPr>
          <w:p>
            <w:pPr>
              <w:pStyle w:val="TableContents"/>
              <w:bidi w:val="0"/>
              <w:spacing w:before="0" w:after="283"/>
              <w:jc w:val="right"/>
              <w:rPr/>
            </w:pPr>
            <w:r>
              <w:rPr/>
              <w:t xml:space="preserve">$ 60,956,000.00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$ 8,418.02 </w:t>
            </w:r>
          </w:p>
        </w:tc>
      </w:tr>
      <w:tr>
        <w:trPr/>
        <w:tc>
          <w:tcPr>
            <w:tcW w:w="36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Common Stock, par value $0.001 per share, issuable under the Nonqualified Stock Option Award (Inducement Grant)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18,000 </w:t>
            </w:r>
          </w:p>
        </w:tc>
        <w:tc>
          <w:tcPr>
            <w:tcW w:w="1156" w:type="dxa"/>
            <w:tcBorders/>
            <w:shd w:fill="E7E7E2" w:val="clear"/>
            <w:vAlign w:val="center"/>
          </w:tcPr>
          <w:p>
            <w:pPr>
              <w:pStyle w:val="TableContents"/>
              <w:bidi w:val="0"/>
              <w:spacing w:before="0" w:after="283"/>
              <w:jc w:val="right"/>
              <w:rPr/>
            </w:pPr>
            <w:r>
              <w:rPr/>
              <w:t xml:space="preserve">$ 11.09 </w:t>
            </w:r>
          </w:p>
        </w:tc>
        <w:tc>
          <w:tcPr>
            <w:tcW w:w="1666" w:type="dxa"/>
            <w:tcBorders/>
            <w:shd w:fill="E7E7E2" w:val="clear"/>
            <w:vAlign w:val="center"/>
          </w:tcPr>
          <w:p>
            <w:pPr>
              <w:pStyle w:val="TableContents"/>
              <w:bidi w:val="0"/>
              <w:spacing w:before="0" w:after="283"/>
              <w:jc w:val="right"/>
              <w:rPr/>
            </w:pPr>
            <w:r>
              <w:rPr/>
              <w:t xml:space="preserve">$ 199,620.00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$ 27.57 </w:t>
            </w:r>
          </w:p>
        </w:tc>
      </w:tr>
      <w:tr>
        <w:trPr/>
        <w:tc>
          <w:tcPr>
            <w:tcW w:w="361"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Common Stock, par value $0.001 per share, issuable under the Nonqualified Stock Option Award (Inducement Grant)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140,600 </w:t>
            </w:r>
          </w:p>
        </w:tc>
        <w:tc>
          <w:tcPr>
            <w:tcW w:w="1156" w:type="dxa"/>
            <w:tcBorders/>
            <w:shd w:fill="E7E7E2" w:val="clear"/>
            <w:vAlign w:val="center"/>
          </w:tcPr>
          <w:p>
            <w:pPr>
              <w:pStyle w:val="TableContents"/>
              <w:bidi w:val="0"/>
              <w:spacing w:before="0" w:after="283"/>
              <w:jc w:val="right"/>
              <w:rPr/>
            </w:pPr>
            <w:r>
              <w:rPr/>
              <w:t xml:space="preserve">$ 13.41 </w:t>
            </w:r>
          </w:p>
        </w:tc>
        <w:tc>
          <w:tcPr>
            <w:tcW w:w="1666" w:type="dxa"/>
            <w:tcBorders/>
            <w:shd w:fill="E7E7E2" w:val="clear"/>
            <w:vAlign w:val="center"/>
          </w:tcPr>
          <w:p>
            <w:pPr>
              <w:pStyle w:val="TableContents"/>
              <w:bidi w:val="0"/>
              <w:spacing w:before="0" w:after="283"/>
              <w:jc w:val="right"/>
              <w:rPr/>
            </w:pPr>
            <w:r>
              <w:rPr/>
              <w:t xml:space="preserve">$ 1,885,446.00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$ 260.38 </w:t>
            </w:r>
          </w:p>
        </w:tc>
      </w:tr>
      <w:tr>
        <w:trPr/>
        <w:tc>
          <w:tcPr>
            <w:tcW w:w="361"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Common Stock, par value $0.001 per share, issuable under the Nonqualified Stock Option Award (Inducement Grant)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13,500 </w:t>
            </w:r>
          </w:p>
        </w:tc>
        <w:tc>
          <w:tcPr>
            <w:tcW w:w="1156" w:type="dxa"/>
            <w:tcBorders/>
            <w:shd w:fill="E7E7E2" w:val="clear"/>
            <w:vAlign w:val="center"/>
          </w:tcPr>
          <w:p>
            <w:pPr>
              <w:pStyle w:val="TableContents"/>
              <w:bidi w:val="0"/>
              <w:spacing w:before="0" w:after="283"/>
              <w:jc w:val="right"/>
              <w:rPr/>
            </w:pPr>
            <w:r>
              <w:rPr/>
              <w:t xml:space="preserve">$ 11.73 </w:t>
            </w:r>
          </w:p>
        </w:tc>
        <w:tc>
          <w:tcPr>
            <w:tcW w:w="1666" w:type="dxa"/>
            <w:tcBorders/>
            <w:shd w:fill="E7E7E2" w:val="clear"/>
            <w:vAlign w:val="center"/>
          </w:tcPr>
          <w:p>
            <w:pPr>
              <w:pStyle w:val="TableContents"/>
              <w:bidi w:val="0"/>
              <w:spacing w:before="0" w:after="283"/>
              <w:jc w:val="right"/>
              <w:rPr/>
            </w:pPr>
            <w:r>
              <w:rPr/>
              <w:t xml:space="preserve">$ 158,355.00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$ 21.87 </w:t>
            </w:r>
          </w:p>
        </w:tc>
      </w:tr>
      <w:tr>
        <w:trPr/>
        <w:tc>
          <w:tcPr>
            <w:tcW w:w="361"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Common Stock, par value $0.001 per share, issuable under the Nonqualified Stock Option Award (Inducement Grant)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31,000 </w:t>
            </w:r>
          </w:p>
        </w:tc>
        <w:tc>
          <w:tcPr>
            <w:tcW w:w="1156" w:type="dxa"/>
            <w:tcBorders/>
            <w:shd w:fill="E7E7E2" w:val="clear"/>
            <w:vAlign w:val="center"/>
          </w:tcPr>
          <w:p>
            <w:pPr>
              <w:pStyle w:val="TableContents"/>
              <w:bidi w:val="0"/>
              <w:spacing w:before="0" w:after="283"/>
              <w:jc w:val="right"/>
              <w:rPr/>
            </w:pPr>
            <w:r>
              <w:rPr/>
              <w:t xml:space="preserve">$ 11.58 </w:t>
            </w:r>
          </w:p>
        </w:tc>
        <w:tc>
          <w:tcPr>
            <w:tcW w:w="1666" w:type="dxa"/>
            <w:tcBorders/>
            <w:shd w:fill="E7E7E2" w:val="clear"/>
            <w:vAlign w:val="center"/>
          </w:tcPr>
          <w:p>
            <w:pPr>
              <w:pStyle w:val="TableContents"/>
              <w:bidi w:val="0"/>
              <w:spacing w:before="0" w:after="283"/>
              <w:jc w:val="right"/>
              <w:rPr/>
            </w:pPr>
            <w:r>
              <w:rPr/>
              <w:t xml:space="preserve">$ 358,980.00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$ 49.58 </w:t>
            </w:r>
          </w:p>
        </w:tc>
      </w:tr>
      <w:tr>
        <w:trPr/>
        <w:tc>
          <w:tcPr>
            <w:tcW w:w="361"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Common Stock, par value $0.001 per share, issuable under the Nonqualified Stock Option Award (Inducement Grant)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137,000 </w:t>
            </w:r>
          </w:p>
        </w:tc>
        <w:tc>
          <w:tcPr>
            <w:tcW w:w="1156" w:type="dxa"/>
            <w:tcBorders/>
            <w:shd w:fill="E7E7E2" w:val="clear"/>
            <w:vAlign w:val="center"/>
          </w:tcPr>
          <w:p>
            <w:pPr>
              <w:pStyle w:val="TableContents"/>
              <w:bidi w:val="0"/>
              <w:spacing w:before="0" w:after="283"/>
              <w:jc w:val="right"/>
              <w:rPr/>
            </w:pPr>
            <w:r>
              <w:rPr/>
              <w:t xml:space="preserve">$ 16.40 </w:t>
            </w:r>
          </w:p>
        </w:tc>
        <w:tc>
          <w:tcPr>
            <w:tcW w:w="1666" w:type="dxa"/>
            <w:tcBorders/>
            <w:shd w:fill="E7E7E2" w:val="clear"/>
            <w:vAlign w:val="center"/>
          </w:tcPr>
          <w:p>
            <w:pPr>
              <w:pStyle w:val="TableContents"/>
              <w:bidi w:val="0"/>
              <w:spacing w:before="0" w:after="283"/>
              <w:jc w:val="right"/>
              <w:rPr/>
            </w:pPr>
            <w:r>
              <w:rPr/>
              <w:t xml:space="preserve">$ 2,246,800.00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$ 310.28 </w:t>
            </w:r>
          </w:p>
        </w:tc>
      </w:tr>
      <w:tr>
        <w:trPr/>
        <w:tc>
          <w:tcPr>
            <w:tcW w:w="361"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Common Stock, par value $0.001 per share, issuable under the Nonqualified Stock Option Award (Inducement Grant)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13,900 </w:t>
            </w:r>
          </w:p>
        </w:tc>
        <w:tc>
          <w:tcPr>
            <w:tcW w:w="1156" w:type="dxa"/>
            <w:tcBorders/>
            <w:shd w:fill="E7E7E2" w:val="clear"/>
            <w:vAlign w:val="center"/>
          </w:tcPr>
          <w:p>
            <w:pPr>
              <w:pStyle w:val="TableContents"/>
              <w:bidi w:val="0"/>
              <w:spacing w:before="0" w:after="283"/>
              <w:jc w:val="right"/>
              <w:rPr/>
            </w:pPr>
            <w:r>
              <w:rPr/>
              <w:t xml:space="preserve">$ 15.84 </w:t>
            </w:r>
          </w:p>
        </w:tc>
        <w:tc>
          <w:tcPr>
            <w:tcW w:w="1666" w:type="dxa"/>
            <w:tcBorders/>
            <w:shd w:fill="E7E7E2" w:val="clear"/>
            <w:vAlign w:val="center"/>
          </w:tcPr>
          <w:p>
            <w:pPr>
              <w:pStyle w:val="TableContents"/>
              <w:bidi w:val="0"/>
              <w:spacing w:before="0" w:after="283"/>
              <w:jc w:val="right"/>
              <w:rPr/>
            </w:pPr>
            <w:r>
              <w:rPr/>
              <w:t xml:space="preserve">$ 220,176.00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$ 30.41 </w:t>
            </w:r>
          </w:p>
        </w:tc>
      </w:tr>
      <w:tr>
        <w:trPr/>
        <w:tc>
          <w:tcPr>
            <w:tcW w:w="361" w:type="dxa"/>
            <w:tcBorders/>
            <w:shd w:fill="E7E7E2" w:val="clear"/>
            <w:vAlign w:val="center"/>
          </w:tcPr>
          <w:p>
            <w:pPr>
              <w:pStyle w:val="TableContents"/>
              <w:bidi w:val="0"/>
              <w:spacing w:before="0" w:after="283"/>
              <w:jc w:val="center"/>
              <w:rPr/>
            </w:pPr>
            <w:r>
              <w:rPr/>
              <w:t xml:space="preserve">8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Common Stock, par value $0.001 per share, issuable under the Nonqualified Stock Option Award (Inducement Grant)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143,000 </w:t>
            </w:r>
          </w:p>
        </w:tc>
        <w:tc>
          <w:tcPr>
            <w:tcW w:w="1156" w:type="dxa"/>
            <w:tcBorders/>
            <w:shd w:fill="E7E7E2" w:val="clear"/>
            <w:vAlign w:val="center"/>
          </w:tcPr>
          <w:p>
            <w:pPr>
              <w:pStyle w:val="TableContents"/>
              <w:bidi w:val="0"/>
              <w:spacing w:before="0" w:after="283"/>
              <w:jc w:val="right"/>
              <w:rPr/>
            </w:pPr>
            <w:r>
              <w:rPr/>
              <w:t xml:space="preserve">$ 12.94 </w:t>
            </w:r>
          </w:p>
        </w:tc>
        <w:tc>
          <w:tcPr>
            <w:tcW w:w="1666" w:type="dxa"/>
            <w:tcBorders/>
            <w:shd w:fill="E7E7E2" w:val="clear"/>
            <w:vAlign w:val="center"/>
          </w:tcPr>
          <w:p>
            <w:pPr>
              <w:pStyle w:val="TableContents"/>
              <w:bidi w:val="0"/>
              <w:spacing w:before="0" w:after="283"/>
              <w:jc w:val="right"/>
              <w:rPr/>
            </w:pPr>
            <w:r>
              <w:rPr/>
              <w:t xml:space="preserve">$ 1,850,420.00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$ 255.54 </w:t>
            </w:r>
          </w:p>
        </w:tc>
      </w:tr>
      <w:tr>
        <w:trPr/>
        <w:tc>
          <w:tcPr>
            <w:tcW w:w="361" w:type="dxa"/>
            <w:tcBorders/>
            <w:shd w:fill="E7E7E2" w:val="clear"/>
            <w:vAlign w:val="center"/>
          </w:tcPr>
          <w:p>
            <w:pPr>
              <w:pStyle w:val="TableContents"/>
              <w:bidi w:val="0"/>
              <w:spacing w:before="0" w:after="283"/>
              <w:jc w:val="center"/>
              <w:rPr/>
            </w:pPr>
            <w:r>
              <w:rPr/>
              <w:t xml:space="preserve">9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Common Stock, par value $0.001 per share, issuable under the Nonqualified Stock Option Award (Inducement Grant)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175,000 </w:t>
            </w:r>
          </w:p>
        </w:tc>
        <w:tc>
          <w:tcPr>
            <w:tcW w:w="1156" w:type="dxa"/>
            <w:tcBorders/>
            <w:shd w:fill="E7E7E2" w:val="clear"/>
            <w:vAlign w:val="center"/>
          </w:tcPr>
          <w:p>
            <w:pPr>
              <w:pStyle w:val="TableContents"/>
              <w:bidi w:val="0"/>
              <w:spacing w:before="0" w:after="283"/>
              <w:jc w:val="right"/>
              <w:rPr/>
            </w:pPr>
            <w:r>
              <w:rPr/>
              <w:t xml:space="preserve">$ 14.91 </w:t>
            </w:r>
          </w:p>
        </w:tc>
        <w:tc>
          <w:tcPr>
            <w:tcW w:w="1666" w:type="dxa"/>
            <w:tcBorders/>
            <w:shd w:fill="E7E7E2" w:val="clear"/>
            <w:vAlign w:val="center"/>
          </w:tcPr>
          <w:p>
            <w:pPr>
              <w:pStyle w:val="TableContents"/>
              <w:bidi w:val="0"/>
              <w:spacing w:before="0" w:after="283"/>
              <w:jc w:val="right"/>
              <w:rPr/>
            </w:pPr>
            <w:r>
              <w:rPr/>
              <w:t xml:space="preserve">$ 2,609,250.00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$ 360.34 </w:t>
            </w:r>
          </w:p>
        </w:tc>
      </w:tr>
      <w:tr>
        <w:trPr/>
        <w:tc>
          <w:tcPr>
            <w:tcW w:w="361" w:type="dxa"/>
            <w:tcBorders/>
            <w:shd w:fill="E7E7E2" w:val="clear"/>
            <w:vAlign w:val="center"/>
          </w:tcPr>
          <w:p>
            <w:pPr>
              <w:pStyle w:val="TableContents"/>
              <w:bidi w:val="0"/>
              <w:spacing w:before="0" w:after="283"/>
              <w:jc w:val="center"/>
              <w:rPr/>
            </w:pPr>
            <w:r>
              <w:rPr/>
              <w:t xml:space="preserve">10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Common Stock, par value $0.001 per share, issuable under the Nonqualified Stock Option Award (Inducement Grant)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20,000 </w:t>
            </w:r>
          </w:p>
        </w:tc>
        <w:tc>
          <w:tcPr>
            <w:tcW w:w="1156" w:type="dxa"/>
            <w:tcBorders/>
            <w:shd w:fill="E7E7E2" w:val="clear"/>
            <w:vAlign w:val="center"/>
          </w:tcPr>
          <w:p>
            <w:pPr>
              <w:pStyle w:val="TableContents"/>
              <w:bidi w:val="0"/>
              <w:spacing w:before="0" w:after="283"/>
              <w:jc w:val="right"/>
              <w:rPr/>
            </w:pPr>
            <w:r>
              <w:rPr/>
              <w:t xml:space="preserve">$ 13.20 </w:t>
            </w:r>
          </w:p>
        </w:tc>
        <w:tc>
          <w:tcPr>
            <w:tcW w:w="1666" w:type="dxa"/>
            <w:tcBorders/>
            <w:shd w:fill="E7E7E2" w:val="clear"/>
            <w:vAlign w:val="center"/>
          </w:tcPr>
          <w:p>
            <w:pPr>
              <w:pStyle w:val="TableContents"/>
              <w:bidi w:val="0"/>
              <w:spacing w:before="0" w:after="283"/>
              <w:jc w:val="right"/>
              <w:rPr/>
            </w:pPr>
            <w:r>
              <w:rPr/>
              <w:t xml:space="preserve">$ 264,000.00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$ 36.46 </w:t>
            </w:r>
          </w:p>
        </w:tc>
      </w:tr>
      <w:tr>
        <w:trPr/>
        <w:tc>
          <w:tcPr>
            <w:tcW w:w="361" w:type="dxa"/>
            <w:tcBorders/>
            <w:shd w:fill="E7E7E2" w:val="clear"/>
            <w:vAlign w:val="center"/>
          </w:tcPr>
          <w:p>
            <w:pPr>
              <w:pStyle w:val="TableContents"/>
              <w:bidi w:val="0"/>
              <w:spacing w:before="0" w:after="283"/>
              <w:jc w:val="center"/>
              <w:rPr/>
            </w:pPr>
            <w:r>
              <w:rPr/>
              <w:t xml:space="preserve">11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Common Stock, par value $0.001 per share, issuable under the Nonqualified Stock Option Award (Inducement Grant)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362,500 </w:t>
            </w:r>
          </w:p>
        </w:tc>
        <w:tc>
          <w:tcPr>
            <w:tcW w:w="1156" w:type="dxa"/>
            <w:tcBorders/>
            <w:shd w:fill="E7E7E2" w:val="clear"/>
            <w:vAlign w:val="center"/>
          </w:tcPr>
          <w:p>
            <w:pPr>
              <w:pStyle w:val="TableContents"/>
              <w:bidi w:val="0"/>
              <w:spacing w:before="0" w:after="283"/>
              <w:jc w:val="right"/>
              <w:rPr/>
            </w:pPr>
            <w:r>
              <w:rPr/>
              <w:t xml:space="preserve">$ 14.63 </w:t>
            </w:r>
          </w:p>
        </w:tc>
        <w:tc>
          <w:tcPr>
            <w:tcW w:w="1666" w:type="dxa"/>
            <w:tcBorders/>
            <w:shd w:fill="E7E7E2" w:val="clear"/>
            <w:vAlign w:val="center"/>
          </w:tcPr>
          <w:p>
            <w:pPr>
              <w:pStyle w:val="TableContents"/>
              <w:bidi w:val="0"/>
              <w:spacing w:before="0" w:after="283"/>
              <w:jc w:val="right"/>
              <w:rPr/>
            </w:pPr>
            <w:r>
              <w:rPr/>
              <w:t xml:space="preserve">$ 5,303,375.00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$ 732.40 </w:t>
            </w:r>
          </w:p>
        </w:tc>
      </w:tr>
      <w:tr>
        <w:trPr/>
        <w:tc>
          <w:tcPr>
            <w:tcW w:w="361" w:type="dxa"/>
            <w:tcBorders/>
            <w:shd w:fill="E7E7E2" w:val="clear"/>
            <w:vAlign w:val="center"/>
          </w:tcPr>
          <w:p>
            <w:pPr>
              <w:pStyle w:val="TableContents"/>
              <w:bidi w:val="0"/>
              <w:spacing w:before="0" w:after="283"/>
              <w:jc w:val="center"/>
              <w:rPr/>
            </w:pPr>
            <w:r>
              <w:rPr/>
              <w:t xml:space="preserve">12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Common Stock, par value $0.001 per share, issuable under the Nonqualified Stock Option Award (Inducement Grant)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158,100 </w:t>
            </w:r>
          </w:p>
        </w:tc>
        <w:tc>
          <w:tcPr>
            <w:tcW w:w="1156" w:type="dxa"/>
            <w:tcBorders/>
            <w:shd w:fill="E7E7E2" w:val="clear"/>
            <w:vAlign w:val="center"/>
          </w:tcPr>
          <w:p>
            <w:pPr>
              <w:pStyle w:val="TableContents"/>
              <w:bidi w:val="0"/>
              <w:spacing w:before="0" w:after="283"/>
              <w:jc w:val="right"/>
              <w:rPr/>
            </w:pPr>
            <w:r>
              <w:rPr/>
              <w:t xml:space="preserve">$ 12.35 </w:t>
            </w:r>
          </w:p>
        </w:tc>
        <w:tc>
          <w:tcPr>
            <w:tcW w:w="1666" w:type="dxa"/>
            <w:tcBorders/>
            <w:shd w:fill="E7E7E2" w:val="clear"/>
            <w:vAlign w:val="center"/>
          </w:tcPr>
          <w:p>
            <w:pPr>
              <w:pStyle w:val="TableContents"/>
              <w:bidi w:val="0"/>
              <w:spacing w:before="0" w:after="283"/>
              <w:jc w:val="right"/>
              <w:rPr/>
            </w:pPr>
            <w:r>
              <w:rPr/>
              <w:t xml:space="preserve">$ 1,952,535.00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$ 269.65 </w:t>
            </w:r>
          </w:p>
        </w:tc>
      </w:tr>
      <w:tr>
        <w:trPr/>
        <w:tc>
          <w:tcPr>
            <w:tcW w:w="361" w:type="dxa"/>
            <w:tcBorders/>
            <w:shd w:fill="E7E7E2" w:val="clear"/>
            <w:vAlign w:val="center"/>
          </w:tcPr>
          <w:p>
            <w:pPr>
              <w:pStyle w:val="TableContents"/>
              <w:bidi w:val="0"/>
              <w:spacing w:before="0" w:after="283"/>
              <w:jc w:val="center"/>
              <w:rPr/>
            </w:pPr>
            <w:r>
              <w:rPr/>
              <w:t xml:space="preserve">13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Common Stock, par value $0.001 per share, issuable under the Nonqualified Stock Option Award (Inducement Grant)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39,700 </w:t>
            </w:r>
          </w:p>
        </w:tc>
        <w:tc>
          <w:tcPr>
            <w:tcW w:w="1156" w:type="dxa"/>
            <w:tcBorders/>
            <w:shd w:fill="E7E7E2" w:val="clear"/>
            <w:vAlign w:val="center"/>
          </w:tcPr>
          <w:p>
            <w:pPr>
              <w:pStyle w:val="TableContents"/>
              <w:bidi w:val="0"/>
              <w:spacing w:before="0" w:after="283"/>
              <w:jc w:val="right"/>
              <w:rPr/>
            </w:pPr>
            <w:r>
              <w:rPr/>
              <w:t xml:space="preserve">$ 12.08 </w:t>
            </w:r>
          </w:p>
        </w:tc>
        <w:tc>
          <w:tcPr>
            <w:tcW w:w="1666" w:type="dxa"/>
            <w:tcBorders/>
            <w:shd w:fill="E7E7E2" w:val="clear"/>
            <w:vAlign w:val="center"/>
          </w:tcPr>
          <w:p>
            <w:pPr>
              <w:pStyle w:val="TableContents"/>
              <w:bidi w:val="0"/>
              <w:spacing w:before="0" w:after="283"/>
              <w:jc w:val="right"/>
              <w:rPr/>
            </w:pPr>
            <w:r>
              <w:rPr/>
              <w:t xml:space="preserve">$ 479,576.00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$ 66.23 </w:t>
            </w:r>
          </w:p>
        </w:tc>
      </w:tr>
      <w:tr>
        <w:trPr/>
        <w:tc>
          <w:tcPr>
            <w:tcW w:w="361" w:type="dxa"/>
            <w:tcBorders/>
            <w:shd w:fill="E7E7E2" w:val="clear"/>
            <w:vAlign w:val="center"/>
          </w:tcPr>
          <w:p>
            <w:pPr>
              <w:pStyle w:val="TableContents"/>
              <w:bidi w:val="0"/>
              <w:spacing w:before="0" w:after="283"/>
              <w:jc w:val="center"/>
              <w:rPr/>
            </w:pPr>
            <w:r>
              <w:rPr/>
              <w:t xml:space="preserve">14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Common Stock, par value $0.001 per share, issuable under the Nonqualified Stock Option Award (Inducement Grant)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100,000 </w:t>
            </w:r>
          </w:p>
        </w:tc>
        <w:tc>
          <w:tcPr>
            <w:tcW w:w="1156" w:type="dxa"/>
            <w:tcBorders/>
            <w:shd w:fill="E7E7E2" w:val="clear"/>
            <w:vAlign w:val="center"/>
          </w:tcPr>
          <w:p>
            <w:pPr>
              <w:pStyle w:val="TableContents"/>
              <w:bidi w:val="0"/>
              <w:spacing w:before="0" w:after="283"/>
              <w:jc w:val="right"/>
              <w:rPr/>
            </w:pPr>
            <w:r>
              <w:rPr/>
              <w:t xml:space="preserve">$ 14.28 </w:t>
            </w:r>
          </w:p>
        </w:tc>
        <w:tc>
          <w:tcPr>
            <w:tcW w:w="1666" w:type="dxa"/>
            <w:tcBorders/>
            <w:shd w:fill="E7E7E2" w:val="clear"/>
            <w:vAlign w:val="center"/>
          </w:tcPr>
          <w:p>
            <w:pPr>
              <w:pStyle w:val="TableContents"/>
              <w:bidi w:val="0"/>
              <w:spacing w:before="0" w:after="283"/>
              <w:jc w:val="right"/>
              <w:rPr/>
            </w:pPr>
            <w:r>
              <w:rPr/>
              <w:t xml:space="preserve">$ 1,428,000.00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$ 197.21 </w:t>
            </w:r>
          </w:p>
        </w:tc>
      </w:tr>
      <w:tr>
        <w:trPr/>
        <w:tc>
          <w:tcPr>
            <w:tcW w:w="361" w:type="dxa"/>
            <w:tcBorders/>
            <w:shd w:fill="E7E7E2" w:val="clear"/>
            <w:vAlign w:val="center"/>
          </w:tcPr>
          <w:p>
            <w:pPr>
              <w:pStyle w:val="TableContents"/>
              <w:bidi w:val="0"/>
              <w:spacing w:before="0" w:after="283"/>
              <w:jc w:val="center"/>
              <w:rPr/>
            </w:pPr>
            <w:r>
              <w:rPr/>
              <w:t xml:space="preserve">15 </w:t>
            </w:r>
          </w:p>
        </w:tc>
        <w:tc>
          <w:tcPr>
            <w:tcW w:w="946" w:type="dxa"/>
            <w:tcBorders/>
            <w:shd w:fill="E7E7E2" w:val="clear"/>
            <w:vAlign w:val="center"/>
          </w:tcPr>
          <w:p>
            <w:pPr>
              <w:pStyle w:val="TableContents"/>
              <w:bidi w:val="0"/>
              <w:spacing w:before="0" w:after="283"/>
              <w:jc w:val="left"/>
              <w:rPr/>
            </w:pPr>
            <w:r>
              <w:rPr/>
              <w:t xml:space="preserve">Equity </w:t>
            </w:r>
          </w:p>
        </w:tc>
        <w:tc>
          <w:tcPr>
            <w:tcW w:w="1351" w:type="dxa"/>
            <w:tcBorders/>
            <w:shd w:fill="E7E7E2" w:val="clear"/>
            <w:vAlign w:val="center"/>
          </w:tcPr>
          <w:p>
            <w:pPr>
              <w:pStyle w:val="TableContents"/>
              <w:bidi w:val="0"/>
              <w:spacing w:before="0" w:after="283"/>
              <w:jc w:val="left"/>
              <w:rPr/>
            </w:pPr>
            <w:r>
              <w:rPr/>
              <w:t xml:space="preserve">Common Stock, par value $0.001 per share, issuable under the Nonqualified Stock Option Award (Inducement Grant)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63,500 </w:t>
            </w:r>
          </w:p>
        </w:tc>
        <w:tc>
          <w:tcPr>
            <w:tcW w:w="1156" w:type="dxa"/>
            <w:tcBorders/>
            <w:shd w:fill="E7E7E2" w:val="clear"/>
            <w:vAlign w:val="center"/>
          </w:tcPr>
          <w:p>
            <w:pPr>
              <w:pStyle w:val="TableContents"/>
              <w:bidi w:val="0"/>
              <w:spacing w:before="0" w:after="283"/>
              <w:jc w:val="right"/>
              <w:rPr/>
            </w:pPr>
            <w:r>
              <w:rPr/>
              <w:t xml:space="preserve">$ 13.85 </w:t>
            </w:r>
          </w:p>
        </w:tc>
        <w:tc>
          <w:tcPr>
            <w:tcW w:w="1666" w:type="dxa"/>
            <w:tcBorders/>
            <w:shd w:fill="E7E7E2" w:val="clear"/>
            <w:vAlign w:val="center"/>
          </w:tcPr>
          <w:p>
            <w:pPr>
              <w:pStyle w:val="TableContents"/>
              <w:bidi w:val="0"/>
              <w:spacing w:before="0" w:after="283"/>
              <w:jc w:val="right"/>
              <w:rPr/>
            </w:pPr>
            <w:r>
              <w:rPr/>
              <w:t xml:space="preserve">$ 879,475.00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$ 121.46 </w:t>
            </w:r>
          </w:p>
        </w:tc>
      </w:tr>
      <w:tr>
        <w:trPr/>
        <w:tc>
          <w:tcPr>
            <w:tcW w:w="512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1" w:name="MaxAggtOfferingPrice"/>
            <w:bookmarkEnd w:id="11"/>
            <w:r>
              <w:rPr/>
              <w:t xml:space="preserve">$ 80,792,008.00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$ 11,157.40 </w:t>
            </w:r>
          </w:p>
        </w:tc>
      </w:tr>
      <w:tr>
        <w:trPr/>
        <w:tc>
          <w:tcPr>
            <w:tcW w:w="512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512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4" w:name="NetFeeAmt"/>
            <w:bookmarkEnd w:id="14"/>
            <w:r>
              <w:rPr/>
              <w:t xml:space="preserve">$ 11,157.40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77"/>
        <w:gridCol w:w="1319"/>
        <w:gridCol w:w="8609"/>
      </w:tblGrid>
      <w:tr>
        <w:trPr/>
        <w:tc>
          <w:tcPr>
            <w:tcW w:w="27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28"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(b) Consists of 4,900,000 shares of Common Stock of Registrant available for issuance under the Registrant's 2023 Long-Term Incentive Plan. (c) Estimated solely for the purpose of calculating the amount of the registration fee pursuant to Rule 457(c) and Rule 457(h) of the Securities Act, on the basis of the average of the high and low prices for a share of Common Stock as reported on the Nasdaq Global Market on July 31, 2026, which date is a date within five business days of the filing of this registration statement. </w:t>
            </w:r>
          </w:p>
        </w:tc>
      </w:tr>
      <w:tr>
        <w:trPr/>
        <w:tc>
          <w:tcPr>
            <w:tcW w:w="1596" w:type="dxa"/>
            <w:gridSpan w:val="2"/>
            <w:tcBorders/>
            <w:vAlign w:val="center"/>
          </w:tcPr>
          <w:p>
            <w:pPr>
              <w:pStyle w:val="HorizontalLine"/>
              <w:pBdr>
                <w:bottom w:val="double" w:sz="2" w:space="0" w:color="808080"/>
              </w:pBdr>
              <w:bidi w:val="0"/>
              <w:spacing w:before="0" w:after="283"/>
              <w:jc w:val="left"/>
              <w:rPr/>
            </w:pPr>
            <w:r>
              <w:rPr/>
            </w:r>
          </w:p>
        </w:tc>
        <w:tc>
          <w:tcPr>
            <w:tcW w:w="8609" w:type="dxa"/>
            <w:tcBorders/>
          </w:tcPr>
          <w:p>
            <w:pPr>
              <w:pStyle w:val="TableContents"/>
              <w:bidi w:val="0"/>
              <w:spacing w:before="0" w:after="283"/>
              <w:jc w:val="left"/>
              <w:rPr>
                <w:sz w:val="4"/>
                <w:szCs w:val="4"/>
              </w:rPr>
            </w:pPr>
            <w:r>
              <w:rPr>
                <w:sz w:val="4"/>
                <w:szCs w:val="4"/>
              </w:rPr>
            </w:r>
          </w:p>
        </w:tc>
      </w:tr>
      <w:tr>
        <w:trPr/>
        <w:tc>
          <w:tcPr>
            <w:tcW w:w="277"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28"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(b) Represents shares of Common Stock issuable upon the exercise of the nonqualified stock option awards granted to employees of the Registrant between July 16, 2025 and July 15, 2026 as an inducement material to each such employee's acceptance of employment with the Registrant (the "Inducement Awards"). (c) Estimated in accordance with Rule 457(h) of the Securities Act solely for the purpose of calculating the registration fee on the basis of the price at which the Inducement Awards may be exercised. </w:t>
            </w:r>
          </w:p>
        </w:tc>
      </w:tr>
      <w:tr>
        <w:trPr/>
        <w:tc>
          <w:tcPr>
            <w:tcW w:w="1596" w:type="dxa"/>
            <w:gridSpan w:val="2"/>
            <w:tcBorders/>
            <w:vAlign w:val="center"/>
          </w:tcPr>
          <w:p>
            <w:pPr>
              <w:pStyle w:val="HorizontalLine"/>
              <w:pBdr>
                <w:bottom w:val="double" w:sz="2" w:space="0" w:color="808080"/>
              </w:pBdr>
              <w:bidi w:val="0"/>
              <w:spacing w:before="0" w:after="283"/>
              <w:jc w:val="left"/>
              <w:rPr/>
            </w:pPr>
            <w:r>
              <w:rPr/>
            </w:r>
          </w:p>
        </w:tc>
        <w:tc>
          <w:tcPr>
            <w:tcW w:w="8609" w:type="dxa"/>
            <w:tcBorders/>
          </w:tcPr>
          <w:p>
            <w:pPr>
              <w:pStyle w:val="TableContents"/>
              <w:bidi w:val="0"/>
              <w:spacing w:before="0" w:after="283"/>
              <w:jc w:val="left"/>
              <w:rPr>
                <w:sz w:val="4"/>
                <w:szCs w:val="4"/>
              </w:rPr>
            </w:pPr>
            <w:r>
              <w:rPr>
                <w:sz w:val="4"/>
                <w:szCs w:val="4"/>
              </w:rPr>
            </w:r>
          </w:p>
        </w:tc>
      </w:tr>
      <w:tr>
        <w:trPr/>
        <w:tc>
          <w:tcPr>
            <w:tcW w:w="277"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28"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(b) Represents shares of Common Stock issuable upon the exercise of the nonqualified stock option awards granted to employees of the Registrant between July 16, 2025 and July 15, 2026 as an inducement material to each such employee's acceptance of employment with the Registrant (the "Inducement Awards"). (c) Estimated in accordance with Rule 457(h) of the Securities Act solely for the purpose of calculating the registration fee on the basis of the price at which the Inducement Awards may be exercised. </w:t>
            </w:r>
          </w:p>
        </w:tc>
      </w:tr>
      <w:tr>
        <w:trPr/>
        <w:tc>
          <w:tcPr>
            <w:tcW w:w="1596" w:type="dxa"/>
            <w:gridSpan w:val="2"/>
            <w:tcBorders/>
            <w:vAlign w:val="center"/>
          </w:tcPr>
          <w:p>
            <w:pPr>
              <w:pStyle w:val="HorizontalLine"/>
              <w:pBdr>
                <w:bottom w:val="double" w:sz="2" w:space="0" w:color="808080"/>
              </w:pBdr>
              <w:bidi w:val="0"/>
              <w:spacing w:before="0" w:after="283"/>
              <w:jc w:val="left"/>
              <w:rPr/>
            </w:pPr>
            <w:r>
              <w:rPr/>
            </w:r>
          </w:p>
        </w:tc>
        <w:tc>
          <w:tcPr>
            <w:tcW w:w="8609" w:type="dxa"/>
            <w:tcBorders/>
          </w:tcPr>
          <w:p>
            <w:pPr>
              <w:pStyle w:val="TableContents"/>
              <w:bidi w:val="0"/>
              <w:spacing w:before="0" w:after="283"/>
              <w:jc w:val="left"/>
              <w:rPr>
                <w:sz w:val="4"/>
                <w:szCs w:val="4"/>
              </w:rPr>
            </w:pPr>
            <w:r>
              <w:rPr>
                <w:sz w:val="4"/>
                <w:szCs w:val="4"/>
              </w:rPr>
            </w:r>
          </w:p>
        </w:tc>
      </w:tr>
      <w:tr>
        <w:trPr/>
        <w:tc>
          <w:tcPr>
            <w:tcW w:w="277"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28"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(b) Represents shares of Common Stock issuable upon the exercise of the nonqualified stock option awards granted to employees of the Registrant between July 16, 2025 and July 15, 2026 as an inducement material to each such employee's acceptance of employment with the Registrant (the "Inducement Awards"). (c) Estimated in accordance with Rule 457(h) of the Securities Act solely for the purpose of calculating the registration fee on the basis of the price at which the Inducement Awards may be exercised. </w:t>
            </w:r>
          </w:p>
        </w:tc>
      </w:tr>
      <w:tr>
        <w:trPr/>
        <w:tc>
          <w:tcPr>
            <w:tcW w:w="1596" w:type="dxa"/>
            <w:gridSpan w:val="2"/>
            <w:tcBorders/>
            <w:vAlign w:val="center"/>
          </w:tcPr>
          <w:p>
            <w:pPr>
              <w:pStyle w:val="HorizontalLine"/>
              <w:pBdr>
                <w:bottom w:val="double" w:sz="2" w:space="0" w:color="808080"/>
              </w:pBdr>
              <w:bidi w:val="0"/>
              <w:spacing w:before="0" w:after="283"/>
              <w:jc w:val="left"/>
              <w:rPr/>
            </w:pPr>
            <w:r>
              <w:rPr/>
            </w:r>
          </w:p>
        </w:tc>
        <w:tc>
          <w:tcPr>
            <w:tcW w:w="8609" w:type="dxa"/>
            <w:tcBorders/>
          </w:tcPr>
          <w:p>
            <w:pPr>
              <w:pStyle w:val="TableContents"/>
              <w:bidi w:val="0"/>
              <w:spacing w:before="0" w:after="283"/>
              <w:jc w:val="left"/>
              <w:rPr>
                <w:sz w:val="4"/>
                <w:szCs w:val="4"/>
              </w:rPr>
            </w:pPr>
            <w:r>
              <w:rPr>
                <w:sz w:val="4"/>
                <w:szCs w:val="4"/>
              </w:rPr>
            </w:r>
          </w:p>
        </w:tc>
      </w:tr>
      <w:tr>
        <w:trPr/>
        <w:tc>
          <w:tcPr>
            <w:tcW w:w="277"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9928"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(b) Represents shares of Common Stock issuable upon the exercise of the nonqualified stock option awards granted to employees of the Registrant between July 16, 2025 and July 15, 2026 as an inducement material to each such employee's acceptance of employment with the Registrant (the "Inducement Awards"). (c) Estimated in accordance with Rule 457(h) of the Securities Act solely for the purpose of calculating the registration fee on the basis of the price at which the Inducement Awards may be exercised. </w:t>
            </w:r>
          </w:p>
        </w:tc>
      </w:tr>
      <w:tr>
        <w:trPr/>
        <w:tc>
          <w:tcPr>
            <w:tcW w:w="1596" w:type="dxa"/>
            <w:gridSpan w:val="2"/>
            <w:tcBorders/>
            <w:vAlign w:val="center"/>
          </w:tcPr>
          <w:p>
            <w:pPr>
              <w:pStyle w:val="HorizontalLine"/>
              <w:pBdr>
                <w:bottom w:val="double" w:sz="2" w:space="0" w:color="808080"/>
              </w:pBdr>
              <w:bidi w:val="0"/>
              <w:spacing w:before="0" w:after="283"/>
              <w:jc w:val="left"/>
              <w:rPr/>
            </w:pPr>
            <w:r>
              <w:rPr/>
            </w:r>
          </w:p>
        </w:tc>
        <w:tc>
          <w:tcPr>
            <w:tcW w:w="8609" w:type="dxa"/>
            <w:tcBorders/>
          </w:tcPr>
          <w:p>
            <w:pPr>
              <w:pStyle w:val="TableContents"/>
              <w:bidi w:val="0"/>
              <w:spacing w:before="0" w:after="283"/>
              <w:jc w:val="left"/>
              <w:rPr>
                <w:sz w:val="4"/>
                <w:szCs w:val="4"/>
              </w:rPr>
            </w:pPr>
            <w:r>
              <w:rPr>
                <w:sz w:val="4"/>
                <w:szCs w:val="4"/>
              </w:rPr>
            </w:r>
          </w:p>
        </w:tc>
      </w:tr>
      <w:tr>
        <w:trPr/>
        <w:tc>
          <w:tcPr>
            <w:tcW w:w="277"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9928"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(b) Represents shares of Common Stock issuable upon the exercise of the nonqualified stock option awards granted to employees of the Registrant between July 16, 2025 and July 15, 2026 as an inducement material to each such employee's acceptance of employment with the Registrant (the "Inducement Awards"). (c) Estimated in accordance with Rule 457(h) of the Securities Act solely for the purpose of calculating the registration fee on the basis of the price at which the Inducement Awards may be exercised. </w:t>
            </w:r>
          </w:p>
        </w:tc>
      </w:tr>
      <w:tr>
        <w:trPr/>
        <w:tc>
          <w:tcPr>
            <w:tcW w:w="1596" w:type="dxa"/>
            <w:gridSpan w:val="2"/>
            <w:tcBorders/>
            <w:vAlign w:val="center"/>
          </w:tcPr>
          <w:p>
            <w:pPr>
              <w:pStyle w:val="HorizontalLine"/>
              <w:pBdr>
                <w:bottom w:val="double" w:sz="2" w:space="0" w:color="808080"/>
              </w:pBdr>
              <w:bidi w:val="0"/>
              <w:spacing w:before="0" w:after="283"/>
              <w:jc w:val="left"/>
              <w:rPr/>
            </w:pPr>
            <w:r>
              <w:rPr/>
            </w:r>
          </w:p>
        </w:tc>
        <w:tc>
          <w:tcPr>
            <w:tcW w:w="8609" w:type="dxa"/>
            <w:tcBorders/>
          </w:tcPr>
          <w:p>
            <w:pPr>
              <w:pStyle w:val="TableContents"/>
              <w:bidi w:val="0"/>
              <w:spacing w:before="0" w:after="283"/>
              <w:jc w:val="left"/>
              <w:rPr>
                <w:sz w:val="4"/>
                <w:szCs w:val="4"/>
              </w:rPr>
            </w:pPr>
            <w:r>
              <w:rPr>
                <w:sz w:val="4"/>
                <w:szCs w:val="4"/>
              </w:rPr>
            </w:r>
          </w:p>
        </w:tc>
      </w:tr>
      <w:tr>
        <w:trPr/>
        <w:tc>
          <w:tcPr>
            <w:tcW w:w="277"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9928"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(b) Represents shares of Common Stock issuable upon the exercise of the nonqualified stock option awards granted to employees of the Registrant between July 16, 2025 and July 15, 2026 as an inducement material to each such employee's acceptance of employment with the Registrant (the "Inducement Awards"). (c) Estimated in accordance with Rule 457(h) of the Securities Act solely for the purpose of calculating the registration fee on the basis of the price at which the Inducement Awards may be exercised. </w:t>
            </w:r>
          </w:p>
        </w:tc>
      </w:tr>
      <w:tr>
        <w:trPr/>
        <w:tc>
          <w:tcPr>
            <w:tcW w:w="1596" w:type="dxa"/>
            <w:gridSpan w:val="2"/>
            <w:tcBorders/>
            <w:vAlign w:val="center"/>
          </w:tcPr>
          <w:p>
            <w:pPr>
              <w:pStyle w:val="HorizontalLine"/>
              <w:pBdr>
                <w:bottom w:val="double" w:sz="2" w:space="0" w:color="808080"/>
              </w:pBdr>
              <w:bidi w:val="0"/>
              <w:spacing w:before="0" w:after="283"/>
              <w:jc w:val="left"/>
              <w:rPr/>
            </w:pPr>
            <w:r>
              <w:rPr/>
            </w:r>
          </w:p>
        </w:tc>
        <w:tc>
          <w:tcPr>
            <w:tcW w:w="8609" w:type="dxa"/>
            <w:tcBorders/>
          </w:tcPr>
          <w:p>
            <w:pPr>
              <w:pStyle w:val="TableContents"/>
              <w:bidi w:val="0"/>
              <w:spacing w:before="0" w:after="283"/>
              <w:jc w:val="left"/>
              <w:rPr>
                <w:sz w:val="4"/>
                <w:szCs w:val="4"/>
              </w:rPr>
            </w:pPr>
            <w:r>
              <w:rPr>
                <w:sz w:val="4"/>
                <w:szCs w:val="4"/>
              </w:rPr>
            </w:r>
          </w:p>
        </w:tc>
      </w:tr>
      <w:tr>
        <w:trPr/>
        <w:tc>
          <w:tcPr>
            <w:tcW w:w="277" w:type="dxa"/>
            <w:tcBorders/>
            <w:vAlign w:val="center"/>
          </w:tcPr>
          <w:p>
            <w:pPr>
              <w:pStyle w:val="TableContents"/>
              <w:bidi w:val="0"/>
              <w:spacing w:lineRule="auto" w:line="288" w:before="0" w:after="0"/>
              <w:ind w:left="0" w:right="0" w:hanging="0"/>
              <w:jc w:val="left"/>
              <w:rPr/>
            </w:pPr>
            <w:r>
              <w:rPr>
                <w:sz w:val="15"/>
              </w:rPr>
              <w:t>8</w:t>
            </w:r>
            <w:r>
              <w:rPr/>
              <w:t xml:space="preserve"> </w:t>
            </w:r>
          </w:p>
        </w:tc>
        <w:tc>
          <w:tcPr>
            <w:tcW w:w="9928"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(b) Represents shares of Common Stock issuable upon the exercise of the nonqualified stock option awards granted to employees of the Registrant between July 16, 2025 and July 15, 2026 as an inducement material to each such employee's acceptance of employment with the Registrant (the "Inducement Awards"). (c) Estimated in accordance with Rule 457(h) of the Securities Act solely for the purpose of calculating the registration fee on the basis of the price at which the Inducement Awards may be exercised. </w:t>
            </w:r>
          </w:p>
        </w:tc>
      </w:tr>
      <w:tr>
        <w:trPr/>
        <w:tc>
          <w:tcPr>
            <w:tcW w:w="1596" w:type="dxa"/>
            <w:gridSpan w:val="2"/>
            <w:tcBorders/>
            <w:vAlign w:val="center"/>
          </w:tcPr>
          <w:p>
            <w:pPr>
              <w:pStyle w:val="HorizontalLine"/>
              <w:pBdr>
                <w:bottom w:val="double" w:sz="2" w:space="0" w:color="808080"/>
              </w:pBdr>
              <w:bidi w:val="0"/>
              <w:spacing w:before="0" w:after="283"/>
              <w:jc w:val="left"/>
              <w:rPr/>
            </w:pPr>
            <w:r>
              <w:rPr/>
            </w:r>
          </w:p>
        </w:tc>
        <w:tc>
          <w:tcPr>
            <w:tcW w:w="8609" w:type="dxa"/>
            <w:tcBorders/>
          </w:tcPr>
          <w:p>
            <w:pPr>
              <w:pStyle w:val="TableContents"/>
              <w:bidi w:val="0"/>
              <w:spacing w:before="0" w:after="283"/>
              <w:jc w:val="left"/>
              <w:rPr>
                <w:sz w:val="4"/>
                <w:szCs w:val="4"/>
              </w:rPr>
            </w:pPr>
            <w:r>
              <w:rPr>
                <w:sz w:val="4"/>
                <w:szCs w:val="4"/>
              </w:rPr>
            </w:r>
          </w:p>
        </w:tc>
      </w:tr>
      <w:tr>
        <w:trPr/>
        <w:tc>
          <w:tcPr>
            <w:tcW w:w="277" w:type="dxa"/>
            <w:tcBorders/>
            <w:vAlign w:val="center"/>
          </w:tcPr>
          <w:p>
            <w:pPr>
              <w:pStyle w:val="TableContents"/>
              <w:bidi w:val="0"/>
              <w:spacing w:lineRule="auto" w:line="288" w:before="0" w:after="0"/>
              <w:ind w:left="0" w:right="0" w:hanging="0"/>
              <w:jc w:val="left"/>
              <w:rPr/>
            </w:pPr>
            <w:r>
              <w:rPr>
                <w:sz w:val="15"/>
              </w:rPr>
              <w:t>9</w:t>
            </w:r>
            <w:r>
              <w:rPr/>
              <w:t xml:space="preserve"> </w:t>
            </w:r>
          </w:p>
        </w:tc>
        <w:tc>
          <w:tcPr>
            <w:tcW w:w="9928"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(b) Represents shares of Common Stock issuable upon the exercise of the nonqualified stock option awards granted to employees of the Registrant between July 16, 2025 and July 15, 2026 as an inducement material to each such employee's acceptance of employment with the Registrant (the "Inducement Awards"). (c) Estimated in accordance with Rule 457(h) of the Securities Act solely for the purpose of calculating the registration fee on the basis of the price at which the Inducement Awards may be exercised. </w:t>
            </w:r>
          </w:p>
        </w:tc>
      </w:tr>
      <w:tr>
        <w:trPr/>
        <w:tc>
          <w:tcPr>
            <w:tcW w:w="1596" w:type="dxa"/>
            <w:gridSpan w:val="2"/>
            <w:tcBorders/>
            <w:vAlign w:val="center"/>
          </w:tcPr>
          <w:p>
            <w:pPr>
              <w:pStyle w:val="HorizontalLine"/>
              <w:pBdr>
                <w:bottom w:val="double" w:sz="2" w:space="0" w:color="808080"/>
              </w:pBdr>
              <w:bidi w:val="0"/>
              <w:spacing w:before="0" w:after="283"/>
              <w:jc w:val="left"/>
              <w:rPr/>
            </w:pPr>
            <w:r>
              <w:rPr/>
            </w:r>
          </w:p>
        </w:tc>
        <w:tc>
          <w:tcPr>
            <w:tcW w:w="8609" w:type="dxa"/>
            <w:tcBorders/>
          </w:tcPr>
          <w:p>
            <w:pPr>
              <w:pStyle w:val="TableContents"/>
              <w:bidi w:val="0"/>
              <w:spacing w:before="0" w:after="283"/>
              <w:jc w:val="left"/>
              <w:rPr>
                <w:sz w:val="4"/>
                <w:szCs w:val="4"/>
              </w:rPr>
            </w:pPr>
            <w:r>
              <w:rPr>
                <w:sz w:val="4"/>
                <w:szCs w:val="4"/>
              </w:rPr>
            </w:r>
          </w:p>
        </w:tc>
      </w:tr>
      <w:tr>
        <w:trPr/>
        <w:tc>
          <w:tcPr>
            <w:tcW w:w="277" w:type="dxa"/>
            <w:tcBorders/>
            <w:vAlign w:val="center"/>
          </w:tcPr>
          <w:p>
            <w:pPr>
              <w:pStyle w:val="TableContents"/>
              <w:bidi w:val="0"/>
              <w:spacing w:lineRule="auto" w:line="288" w:before="0" w:after="0"/>
              <w:ind w:left="0" w:right="0" w:hanging="0"/>
              <w:jc w:val="left"/>
              <w:rPr/>
            </w:pPr>
            <w:r>
              <w:rPr>
                <w:sz w:val="15"/>
              </w:rPr>
              <w:t>10</w:t>
            </w:r>
            <w:r>
              <w:rPr/>
              <w:t xml:space="preserve"> </w:t>
            </w:r>
          </w:p>
        </w:tc>
        <w:tc>
          <w:tcPr>
            <w:tcW w:w="9928"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(b) Represents shares of Common Stock issuable upon the exercise of the nonqualified stock option awards granted to employees of the Registrant between July 16, 2025 and July 15, 2026 as an inducement material to each such employee's acceptance of employment with the Registrant (the "Inducement Awards"). (c) Estimated in accordance with Rule 457(h) of the Securities Act solely for the purpose of calculating the registration fee on the basis of the price at which the Inducement Awards may be exercised. </w:t>
            </w:r>
          </w:p>
        </w:tc>
      </w:tr>
      <w:tr>
        <w:trPr/>
        <w:tc>
          <w:tcPr>
            <w:tcW w:w="1596" w:type="dxa"/>
            <w:gridSpan w:val="2"/>
            <w:tcBorders/>
            <w:vAlign w:val="center"/>
          </w:tcPr>
          <w:p>
            <w:pPr>
              <w:pStyle w:val="HorizontalLine"/>
              <w:pBdr>
                <w:bottom w:val="double" w:sz="2" w:space="0" w:color="808080"/>
              </w:pBdr>
              <w:bidi w:val="0"/>
              <w:spacing w:before="0" w:after="283"/>
              <w:jc w:val="left"/>
              <w:rPr/>
            </w:pPr>
            <w:r>
              <w:rPr/>
            </w:r>
          </w:p>
        </w:tc>
        <w:tc>
          <w:tcPr>
            <w:tcW w:w="8609" w:type="dxa"/>
            <w:tcBorders/>
          </w:tcPr>
          <w:p>
            <w:pPr>
              <w:pStyle w:val="TableContents"/>
              <w:bidi w:val="0"/>
              <w:spacing w:before="0" w:after="283"/>
              <w:jc w:val="left"/>
              <w:rPr>
                <w:sz w:val="4"/>
                <w:szCs w:val="4"/>
              </w:rPr>
            </w:pPr>
            <w:r>
              <w:rPr>
                <w:sz w:val="4"/>
                <w:szCs w:val="4"/>
              </w:rPr>
            </w:r>
          </w:p>
        </w:tc>
      </w:tr>
      <w:tr>
        <w:trPr/>
        <w:tc>
          <w:tcPr>
            <w:tcW w:w="277" w:type="dxa"/>
            <w:tcBorders/>
            <w:vAlign w:val="center"/>
          </w:tcPr>
          <w:p>
            <w:pPr>
              <w:pStyle w:val="TableContents"/>
              <w:bidi w:val="0"/>
              <w:spacing w:lineRule="auto" w:line="288" w:before="0" w:after="0"/>
              <w:ind w:left="0" w:right="0" w:hanging="0"/>
              <w:jc w:val="left"/>
              <w:rPr/>
            </w:pPr>
            <w:r>
              <w:rPr>
                <w:sz w:val="15"/>
              </w:rPr>
              <w:t>11</w:t>
            </w:r>
            <w:r>
              <w:rPr/>
              <w:t xml:space="preserve"> </w:t>
            </w:r>
          </w:p>
        </w:tc>
        <w:tc>
          <w:tcPr>
            <w:tcW w:w="9928"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(b) Represents shares of Common Stock issuable upon the exercise of the nonqualified stock option awards granted to employees of the Registrant between July 16, 2025 and July 15, 2026 as an inducement material to each such employee's acceptance of employment with the Registrant (the "Inducement Awards"). (c) Estimated in accordance with Rule 457(h) of the Securities Act solely for the purpose of calculating the registration fee on the basis of the price at which the Inducement Awards may be exercised. </w:t>
            </w:r>
          </w:p>
        </w:tc>
      </w:tr>
      <w:tr>
        <w:trPr/>
        <w:tc>
          <w:tcPr>
            <w:tcW w:w="1596" w:type="dxa"/>
            <w:gridSpan w:val="2"/>
            <w:tcBorders/>
            <w:vAlign w:val="center"/>
          </w:tcPr>
          <w:p>
            <w:pPr>
              <w:pStyle w:val="HorizontalLine"/>
              <w:pBdr>
                <w:bottom w:val="double" w:sz="2" w:space="0" w:color="808080"/>
              </w:pBdr>
              <w:bidi w:val="0"/>
              <w:spacing w:before="0" w:after="283"/>
              <w:jc w:val="left"/>
              <w:rPr/>
            </w:pPr>
            <w:r>
              <w:rPr/>
            </w:r>
          </w:p>
        </w:tc>
        <w:tc>
          <w:tcPr>
            <w:tcW w:w="8609" w:type="dxa"/>
            <w:tcBorders/>
          </w:tcPr>
          <w:p>
            <w:pPr>
              <w:pStyle w:val="TableContents"/>
              <w:bidi w:val="0"/>
              <w:spacing w:before="0" w:after="283"/>
              <w:jc w:val="left"/>
              <w:rPr>
                <w:sz w:val="4"/>
                <w:szCs w:val="4"/>
              </w:rPr>
            </w:pPr>
            <w:r>
              <w:rPr>
                <w:sz w:val="4"/>
                <w:szCs w:val="4"/>
              </w:rPr>
            </w:r>
          </w:p>
        </w:tc>
      </w:tr>
      <w:tr>
        <w:trPr/>
        <w:tc>
          <w:tcPr>
            <w:tcW w:w="277" w:type="dxa"/>
            <w:tcBorders/>
            <w:vAlign w:val="center"/>
          </w:tcPr>
          <w:p>
            <w:pPr>
              <w:pStyle w:val="TableContents"/>
              <w:bidi w:val="0"/>
              <w:spacing w:lineRule="auto" w:line="288" w:before="0" w:after="0"/>
              <w:ind w:left="0" w:right="0" w:hanging="0"/>
              <w:jc w:val="left"/>
              <w:rPr/>
            </w:pPr>
            <w:r>
              <w:rPr>
                <w:sz w:val="15"/>
              </w:rPr>
              <w:t>12</w:t>
            </w:r>
            <w:r>
              <w:rPr/>
              <w:t xml:space="preserve"> </w:t>
            </w:r>
          </w:p>
        </w:tc>
        <w:tc>
          <w:tcPr>
            <w:tcW w:w="9928"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(b) Represents shares of Common Stock issuable upon the exercise of the nonqualified stock option awards granted to employees of the Registrant between July 16, 2025 and July 15, 2026 as an inducement material to each such employee's acceptance of employment with the Registrant (the "Inducement Awards"). (c) Estimated in accordance with Rule 457(h) of the Securities Act solely for the purpose of calculating the registration fee on the basis of the price at which the Inducement Awards may be exercised. </w:t>
            </w:r>
          </w:p>
        </w:tc>
      </w:tr>
      <w:tr>
        <w:trPr/>
        <w:tc>
          <w:tcPr>
            <w:tcW w:w="1596" w:type="dxa"/>
            <w:gridSpan w:val="2"/>
            <w:tcBorders/>
            <w:vAlign w:val="center"/>
          </w:tcPr>
          <w:p>
            <w:pPr>
              <w:pStyle w:val="HorizontalLine"/>
              <w:pBdr>
                <w:bottom w:val="double" w:sz="2" w:space="0" w:color="808080"/>
              </w:pBdr>
              <w:bidi w:val="0"/>
              <w:spacing w:before="0" w:after="283"/>
              <w:jc w:val="left"/>
              <w:rPr/>
            </w:pPr>
            <w:r>
              <w:rPr/>
            </w:r>
          </w:p>
        </w:tc>
        <w:tc>
          <w:tcPr>
            <w:tcW w:w="8609" w:type="dxa"/>
            <w:tcBorders/>
          </w:tcPr>
          <w:p>
            <w:pPr>
              <w:pStyle w:val="TableContents"/>
              <w:bidi w:val="0"/>
              <w:spacing w:before="0" w:after="283"/>
              <w:jc w:val="left"/>
              <w:rPr>
                <w:sz w:val="4"/>
                <w:szCs w:val="4"/>
              </w:rPr>
            </w:pPr>
            <w:r>
              <w:rPr>
                <w:sz w:val="4"/>
                <w:szCs w:val="4"/>
              </w:rPr>
            </w:r>
          </w:p>
        </w:tc>
      </w:tr>
      <w:tr>
        <w:trPr/>
        <w:tc>
          <w:tcPr>
            <w:tcW w:w="277" w:type="dxa"/>
            <w:tcBorders/>
            <w:vAlign w:val="center"/>
          </w:tcPr>
          <w:p>
            <w:pPr>
              <w:pStyle w:val="TableContents"/>
              <w:bidi w:val="0"/>
              <w:spacing w:lineRule="auto" w:line="288" w:before="0" w:after="0"/>
              <w:ind w:left="0" w:right="0" w:hanging="0"/>
              <w:jc w:val="left"/>
              <w:rPr/>
            </w:pPr>
            <w:r>
              <w:rPr>
                <w:sz w:val="15"/>
              </w:rPr>
              <w:t>13</w:t>
            </w:r>
            <w:r>
              <w:rPr/>
              <w:t xml:space="preserve"> </w:t>
            </w:r>
          </w:p>
        </w:tc>
        <w:tc>
          <w:tcPr>
            <w:tcW w:w="9928"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(b) Represents shares of Common Stock issuable upon the exercise of the nonqualified stock option awards granted to employees of the Registrant between July 16, 2025 and July 15, 2026 as an inducement material to each such employee's acceptance of employment with the Registrant (the "Inducement Awards"). (c) Estimated in accordance with Rule 457(h) of the Securities Act solely for the purpose of calculating the registration fee on the basis of the price at which the Inducement Awards may be exercised. </w:t>
            </w:r>
          </w:p>
        </w:tc>
      </w:tr>
      <w:tr>
        <w:trPr/>
        <w:tc>
          <w:tcPr>
            <w:tcW w:w="1596" w:type="dxa"/>
            <w:gridSpan w:val="2"/>
            <w:tcBorders/>
            <w:vAlign w:val="center"/>
          </w:tcPr>
          <w:p>
            <w:pPr>
              <w:pStyle w:val="HorizontalLine"/>
              <w:pBdr>
                <w:bottom w:val="double" w:sz="2" w:space="0" w:color="808080"/>
              </w:pBdr>
              <w:bidi w:val="0"/>
              <w:spacing w:before="0" w:after="283"/>
              <w:jc w:val="left"/>
              <w:rPr/>
            </w:pPr>
            <w:r>
              <w:rPr/>
            </w:r>
          </w:p>
        </w:tc>
        <w:tc>
          <w:tcPr>
            <w:tcW w:w="8609" w:type="dxa"/>
            <w:tcBorders/>
          </w:tcPr>
          <w:p>
            <w:pPr>
              <w:pStyle w:val="TableContents"/>
              <w:bidi w:val="0"/>
              <w:spacing w:before="0" w:after="283"/>
              <w:jc w:val="left"/>
              <w:rPr>
                <w:sz w:val="4"/>
                <w:szCs w:val="4"/>
              </w:rPr>
            </w:pPr>
            <w:r>
              <w:rPr>
                <w:sz w:val="4"/>
                <w:szCs w:val="4"/>
              </w:rPr>
            </w:r>
          </w:p>
        </w:tc>
      </w:tr>
      <w:tr>
        <w:trPr/>
        <w:tc>
          <w:tcPr>
            <w:tcW w:w="277" w:type="dxa"/>
            <w:tcBorders/>
            <w:vAlign w:val="center"/>
          </w:tcPr>
          <w:p>
            <w:pPr>
              <w:pStyle w:val="TableContents"/>
              <w:bidi w:val="0"/>
              <w:spacing w:lineRule="auto" w:line="288" w:before="0" w:after="0"/>
              <w:ind w:left="0" w:right="0" w:hanging="0"/>
              <w:jc w:val="left"/>
              <w:rPr/>
            </w:pPr>
            <w:r>
              <w:rPr>
                <w:sz w:val="15"/>
              </w:rPr>
              <w:t>14</w:t>
            </w:r>
            <w:r>
              <w:rPr/>
              <w:t xml:space="preserve"> </w:t>
            </w:r>
          </w:p>
        </w:tc>
        <w:tc>
          <w:tcPr>
            <w:tcW w:w="9928"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(b) Represents shares of Common Stock issuable upon the exercise of the nonqualified stock option awards granted to employees of the Registrant between July 16, 2025 and July 15, 2026 as an inducement material to each such employee's acceptance of employment with the Registrant (the "Inducement Awards"). (c) Estimated in accordance with Rule 457(h) of the Securities Act solely for the purpose of calculating the registration fee on the basis of the price at which the Inducement Awards may be exercised. </w:t>
            </w:r>
          </w:p>
        </w:tc>
      </w:tr>
      <w:tr>
        <w:trPr/>
        <w:tc>
          <w:tcPr>
            <w:tcW w:w="1596" w:type="dxa"/>
            <w:gridSpan w:val="2"/>
            <w:tcBorders/>
            <w:vAlign w:val="center"/>
          </w:tcPr>
          <w:p>
            <w:pPr>
              <w:pStyle w:val="HorizontalLine"/>
              <w:pBdr>
                <w:bottom w:val="double" w:sz="2" w:space="0" w:color="808080"/>
              </w:pBdr>
              <w:bidi w:val="0"/>
              <w:spacing w:before="0" w:after="283"/>
              <w:jc w:val="left"/>
              <w:rPr/>
            </w:pPr>
            <w:r>
              <w:rPr/>
            </w:r>
          </w:p>
        </w:tc>
        <w:tc>
          <w:tcPr>
            <w:tcW w:w="8609" w:type="dxa"/>
            <w:tcBorders/>
          </w:tcPr>
          <w:p>
            <w:pPr>
              <w:pStyle w:val="TableContents"/>
              <w:bidi w:val="0"/>
              <w:spacing w:before="0" w:after="283"/>
              <w:jc w:val="left"/>
              <w:rPr>
                <w:sz w:val="4"/>
                <w:szCs w:val="4"/>
              </w:rPr>
            </w:pPr>
            <w:r>
              <w:rPr>
                <w:sz w:val="4"/>
                <w:szCs w:val="4"/>
              </w:rPr>
            </w:r>
          </w:p>
        </w:tc>
      </w:tr>
      <w:tr>
        <w:trPr/>
        <w:tc>
          <w:tcPr>
            <w:tcW w:w="277" w:type="dxa"/>
            <w:tcBorders/>
            <w:vAlign w:val="center"/>
          </w:tcPr>
          <w:p>
            <w:pPr>
              <w:pStyle w:val="TableContents"/>
              <w:bidi w:val="0"/>
              <w:spacing w:lineRule="auto" w:line="288" w:before="0" w:after="0"/>
              <w:ind w:left="0" w:right="0" w:hanging="0"/>
              <w:jc w:val="left"/>
              <w:rPr/>
            </w:pPr>
            <w:r>
              <w:rPr>
                <w:sz w:val="15"/>
              </w:rPr>
              <w:t>15</w:t>
            </w:r>
            <w:r>
              <w:rPr/>
              <w:t xml:space="preserve"> </w:t>
            </w:r>
          </w:p>
        </w:tc>
        <w:tc>
          <w:tcPr>
            <w:tcW w:w="9928"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(b) Represents shares of Common Stock issuable upon the exercise of the nonqualified stock option awards granted to employees of the Registrant between July 16, 2025 and July 15, 2026 as an inducement material to each such employee's acceptance of employment with the Registrant (the "Inducement Awards"). (c) Estimated in accordance with Rule 457(h) of the Securities Act solely for the purpose of calculating the registration fee on the basis of the price at which the Inducement Awards may be exercised. </w:t>
            </w:r>
          </w:p>
        </w:tc>
      </w:tr>
      <w:tr>
        <w:trPr/>
        <w:tc>
          <w:tcPr>
            <w:tcW w:w="1596" w:type="dxa"/>
            <w:gridSpan w:val="2"/>
            <w:tcBorders/>
            <w:vAlign w:val="center"/>
          </w:tcPr>
          <w:p>
            <w:pPr>
              <w:pStyle w:val="HorizontalLine"/>
              <w:pBdr>
                <w:bottom w:val="double" w:sz="2" w:space="0" w:color="808080"/>
              </w:pBdr>
              <w:bidi w:val="0"/>
              <w:spacing w:before="0" w:after="283"/>
              <w:jc w:val="left"/>
              <w:rPr/>
            </w:pPr>
            <w:r>
              <w:rPr/>
            </w:r>
          </w:p>
        </w:tc>
        <w:tc>
          <w:tcPr>
            <w:tcW w:w="86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314102/000119312526093917/eypt-20251231.htm" TargetMode="External"/><Relationship Id="rId3" Type="http://schemas.openxmlformats.org/officeDocument/2006/relationships/hyperlink" Target="https://www.sec.gov/ix?doc=/Archives/edgar/data/0001314102/000119312526182035/eypt-20260427.htm" TargetMode="External"/><Relationship Id="rId4" Type="http://schemas.openxmlformats.org/officeDocument/2006/relationships/hyperlink" Target="https://www.sec.gov/ix?doc=/Archives/edgar/data/0001314102/000119312526211870/eypt-20260331.htm" TargetMode="External"/><Relationship Id="rId5" Type="http://schemas.openxmlformats.org/officeDocument/2006/relationships/hyperlink" Target="https://www.sec.gov/ix?doc=/Archives/edgar/data/0001314102/000119312526335037/eypt-20260630.htm" TargetMode="External"/><Relationship Id="rId6" Type="http://schemas.openxmlformats.org/officeDocument/2006/relationships/hyperlink" Target="https://www.sec.gov/ix?doc=/Archives/edgar/data/0001314102/000119312526084154/eypt-20260226.htm" TargetMode="External"/><Relationship Id="rId7" Type="http://schemas.openxmlformats.org/officeDocument/2006/relationships/hyperlink" Target="https://www.sec.gov/ix?doc=/Archives/edgar/data/0001314102/000119312526152852/eypt-20260413.htm" TargetMode="External"/><Relationship Id="rId8" Type="http://schemas.openxmlformats.org/officeDocument/2006/relationships/hyperlink" Target="https://www.sec.gov/ix?doc=/Archives/edgar/data/0001314102/000119312526222750/eypt-20260514.htm" TargetMode="External"/><Relationship Id="rId9" Type="http://schemas.openxmlformats.org/officeDocument/2006/relationships/hyperlink" Target="https://www.sec.gov/ix?doc=/Archives/edgar/data/0001314102/000119312526276688/eypt-20260618.htm" TargetMode="External"/><Relationship Id="rId10" Type="http://schemas.openxmlformats.org/officeDocument/2006/relationships/hyperlink" Target="https://www.sec.gov/ix?doc=/Archives/edgar/data/0001314102/000119312526307792/eypt-20260713.htm" TargetMode="External"/><Relationship Id="rId11" Type="http://schemas.openxmlformats.org/officeDocument/2006/relationships/hyperlink" Target="https://www.sec.gov/ix?doc=/Archives/edgar/data/0001314102/000119312526324866/eypt-20260730.htm" TargetMode="External"/><Relationship Id="rId12" Type="http://schemas.openxmlformats.org/officeDocument/2006/relationships/hyperlink" Target="https://www.sec.gov/ix?doc=/Archives/edgar/data/0001314102/000119312526333821/eypt-20260805.htm" TargetMode="External"/><Relationship Id="rId13" Type="http://schemas.openxmlformats.org/officeDocument/2006/relationships/hyperlink" Target="https://www.sec.gov/Archives/edgar/data/1314102/000114420405001658/v011251.htm" TargetMode="External"/><Relationship Id="rId14" Type="http://schemas.openxmlformats.org/officeDocument/2006/relationships/hyperlink" Target="https://www.sec.gov/Archives/edgar/data/1314102/000119312526093917/eypt-ex4_2.htm" TargetMode="External"/><Relationship Id="rId15" Type="http://schemas.openxmlformats.org/officeDocument/2006/relationships/hyperlink" Target="https://www.sec.gov/ix?doc=/Archives/edgar/data/0001314102/000119312526093917/eypt-20251231.htm" TargetMode="External"/><Relationship Id="rId16" Type="http://schemas.openxmlformats.org/officeDocument/2006/relationships/hyperlink" Target="https://www.sec.gov/Archives/edgar/data/1314102/000119312508136629/dex31.htm" TargetMode="External"/><Relationship Id="rId17" Type="http://schemas.openxmlformats.org/officeDocument/2006/relationships/hyperlink" Target="https://www.sec.gov/Archives/edgar/data/1314102/000119312517283875/d326107dex32.htm" TargetMode="External"/><Relationship Id="rId18" Type="http://schemas.openxmlformats.org/officeDocument/2006/relationships/hyperlink" Target="https://www.sec.gov/Archives/edgar/data/1314102/000119312518104855/d544168dex31.htm" TargetMode="External"/><Relationship Id="rId19" Type="http://schemas.openxmlformats.org/officeDocument/2006/relationships/hyperlink" Target="https://www.sec.gov/Archives/edgar/data/1314102/000119312518205723/d633682dex31.htm" TargetMode="External"/><Relationship Id="rId20" Type="http://schemas.openxmlformats.org/officeDocument/2006/relationships/hyperlink" Target="https://www.sec.gov/Archives/edgar/data/1314102/000119312518276414/d617568dex35.htm" TargetMode="External"/><Relationship Id="rId21" Type="http://schemas.openxmlformats.org/officeDocument/2006/relationships/hyperlink" Target="https://www.sec.gov/Archives/edgar/data/1314102/000119312518318982/d651294dex31.htm" TargetMode="External"/><Relationship Id="rId22" Type="http://schemas.openxmlformats.org/officeDocument/2006/relationships/hyperlink" Target="https://www.sec.gov/Archives/edgar/data/1314102/000156459020030273/eypt-ex31_9.htm" TargetMode="External"/><Relationship Id="rId23" Type="http://schemas.openxmlformats.org/officeDocument/2006/relationships/hyperlink" Target="https://www.sec.gov/Archives/edgar/data/1314102/000156459020056386/eypt-ex31_9.htm" TargetMode="External"/><Relationship Id="rId24" Type="http://schemas.openxmlformats.org/officeDocument/2006/relationships/hyperlink" Target="https://www.sec.gov/Archives/edgar/data/1314102/000119312525310731/d60563dex31.htm" TargetMode="External"/><Relationship Id="rId25" Type="http://schemas.openxmlformats.org/officeDocument/2006/relationships/hyperlink" Target="https://www.sec.gov/Archives/edgar/data/1314102/000119312525310731/d60563dex32.htm" TargetMode="External"/><Relationship Id="rId26" Type="http://schemas.openxmlformats.org/officeDocument/2006/relationships/hyperlink" Target="https://www.sec.gov/Archives/edgar/data/1314102/000119312508136629/dex41.htm" TargetMode="External"/><Relationship Id="rId27" Type="http://schemas.openxmlformats.org/officeDocument/2006/relationships/hyperlink" Target="https://www.sec.gov/Archives/edgar/data/1314102/000119312526093917/eypt-ex10_7.htm" TargetMode="External"/><Relationship Id="rId28" Type="http://schemas.openxmlformats.org/officeDocument/2006/relationships/hyperlink" Target="https://www.sec.gov/Archives/edgar/data/1314102/000119312526093917/eypt-ex10_16.htm" TargetMode="External"/><Relationship Id="rId29" Type="http://schemas.openxmlformats.org/officeDocument/2006/relationships/hyperlink" Target="https://www.sec.gov/Archives/edgar/data/1314102/000119312526093917/eypt-ex10_18.htm" TargetMode="External"/><Relationship Id="rId30" Type="http://schemas.openxmlformats.org/officeDocument/2006/relationships/hyperlink" Target="https://www.sec.gov/Archives/edgar/data/1314102/000119312526276688/eypt-ex10_1.htm" TargetMode="External"/><Relationship Id="rId31" Type="http://schemas.openxmlformats.org/officeDocument/2006/relationships/image" Target="media/image1.gif"/><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6439</Words>
  <Characters>34453</Characters>
  <CharactersWithSpaces>40941</CharactersWithSpaces>
  <Paragraphs>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